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B31570" w:rsidRDefault="00000000" w:rsidP="00ED510A">
      <w:pPr>
        <w:jc w:val="center"/>
        <w:rPr>
          <w:b/>
          <w:sz w:val="26"/>
          <w:szCs w:val="26"/>
        </w:rPr>
      </w:pPr>
      <w:r>
        <w:rPr>
          <w:b/>
          <w:sz w:val="26"/>
          <w:szCs w:val="26"/>
        </w:rPr>
        <w:t>Joint Session Proposal, Alter 2023</w:t>
      </w:r>
    </w:p>
    <w:p w14:paraId="00000002" w14:textId="77777777" w:rsidR="00B31570" w:rsidRDefault="00B31570">
      <w:pPr>
        <w:jc w:val="center"/>
        <w:rPr>
          <w:b/>
          <w:sz w:val="26"/>
          <w:szCs w:val="26"/>
        </w:rPr>
      </w:pPr>
    </w:p>
    <w:p w14:paraId="00000003" w14:textId="77777777" w:rsidR="00B31570" w:rsidRDefault="00000000">
      <w:r>
        <w:rPr>
          <w:b/>
        </w:rPr>
        <w:t>Léo Delaune</w:t>
      </w:r>
      <w:r>
        <w:t>, Ph.D. student, University of Strasbourg</w:t>
      </w:r>
    </w:p>
    <w:p w14:paraId="00000004" w14:textId="77777777" w:rsidR="00B31570" w:rsidRDefault="00000000">
      <w:r>
        <w:rPr>
          <w:b/>
        </w:rPr>
        <w:t>Ninon Dubourg</w:t>
      </w:r>
      <w:r>
        <w:t>, Postdoctoral Fellow, F.R.S.-FNRS, UR “Transitions”, University of Liège</w:t>
      </w:r>
    </w:p>
    <w:p w14:paraId="00000005" w14:textId="77777777" w:rsidR="00B31570" w:rsidRDefault="00000000">
      <w:r>
        <w:rPr>
          <w:b/>
        </w:rPr>
        <w:t xml:space="preserve">Megan </w:t>
      </w:r>
      <w:proofErr w:type="spellStart"/>
      <w:r>
        <w:rPr>
          <w:b/>
        </w:rPr>
        <w:t>Kateb</w:t>
      </w:r>
      <w:proofErr w:type="spellEnd"/>
      <w:r>
        <w:t>, Master’s degree, University of Paris-Nanterre</w:t>
      </w:r>
    </w:p>
    <w:p w14:paraId="00000006" w14:textId="77777777" w:rsidR="00B31570" w:rsidRDefault="00000000">
      <w:r>
        <w:rPr>
          <w:b/>
        </w:rPr>
        <w:t xml:space="preserve">Adam </w:t>
      </w:r>
      <w:proofErr w:type="spellStart"/>
      <w:r>
        <w:rPr>
          <w:b/>
        </w:rPr>
        <w:t>Mirbeau</w:t>
      </w:r>
      <w:proofErr w:type="spellEnd"/>
      <w:r>
        <w:t>, Ph.D. student, University of Angers</w:t>
      </w:r>
    </w:p>
    <w:p w14:paraId="00000007" w14:textId="77777777" w:rsidR="00B31570" w:rsidRDefault="00B31570">
      <w:pPr>
        <w:ind w:firstLine="0"/>
        <w:jc w:val="left"/>
        <w:rPr>
          <w:b/>
          <w:sz w:val="28"/>
          <w:szCs w:val="28"/>
        </w:rPr>
      </w:pPr>
    </w:p>
    <w:p w14:paraId="00000008" w14:textId="10FC230E" w:rsidR="00B31570" w:rsidRDefault="00000000">
      <w:pPr>
        <w:jc w:val="center"/>
        <w:rPr>
          <w:b/>
          <w:sz w:val="28"/>
          <w:szCs w:val="28"/>
        </w:rPr>
      </w:pPr>
      <w:r>
        <w:rPr>
          <w:b/>
          <w:sz w:val="28"/>
          <w:szCs w:val="28"/>
        </w:rPr>
        <w:t>Protection, autonomy</w:t>
      </w:r>
      <w:r w:rsidR="00AC7ED2">
        <w:rPr>
          <w:b/>
          <w:sz w:val="28"/>
          <w:szCs w:val="28"/>
        </w:rPr>
        <w:t xml:space="preserve"> and</w:t>
      </w:r>
      <w:r>
        <w:rPr>
          <w:b/>
          <w:sz w:val="28"/>
          <w:szCs w:val="28"/>
        </w:rPr>
        <w:t xml:space="preserve"> emancipation. The counterpoint of medieval studies on disability</w:t>
      </w:r>
    </w:p>
    <w:p w14:paraId="00000009" w14:textId="77777777" w:rsidR="00B31570" w:rsidRDefault="00B31570">
      <w:pPr>
        <w:spacing w:before="120"/>
      </w:pPr>
    </w:p>
    <w:p w14:paraId="0000000A" w14:textId="77777777" w:rsidR="00B31570" w:rsidRDefault="00000000">
      <w:pPr>
        <w:spacing w:before="240" w:after="240"/>
      </w:pPr>
      <w:r>
        <w:t>As in several disciplines of humanities and social sciences, disability became of interest to historians during the 1980s, a time of great development in the disability rights movement</w:t>
      </w:r>
      <w:r>
        <w:rPr>
          <w:vertAlign w:val="superscript"/>
        </w:rPr>
        <w:footnoteReference w:id="1"/>
      </w:r>
      <w:r>
        <w:t>. Historians joined activists and other academics to raise public awareness and influence government policies and started to study the living conditions of disabled people in the past to put into perspective contemporary institutions and attitudes</w:t>
      </w:r>
      <w:r>
        <w:rPr>
          <w:vertAlign w:val="superscript"/>
        </w:rPr>
        <w:footnoteReference w:id="2"/>
      </w:r>
      <w:r>
        <w:t>. For some time, they focused more on modern and contemporary societies, times in which specialised institutions existed and whose sources contain more testimonies of disabled people</w:t>
      </w:r>
      <w:r>
        <w:rPr>
          <w:vertAlign w:val="superscript"/>
        </w:rPr>
        <w:footnoteReference w:id="3"/>
      </w:r>
      <w:r>
        <w:t>.</w:t>
      </w:r>
    </w:p>
    <w:p w14:paraId="0000000B" w14:textId="77777777" w:rsidR="00B31570" w:rsidRDefault="00000000">
      <w:pPr>
        <w:spacing w:before="240" w:after="240"/>
      </w:pPr>
      <w:r>
        <w:t>Studies on disability in the Middle Ages began to multiply during the 2000s. The work of many medievalists from different disciplines (history, art history, legal history, literature, and archaeology) explored various approaches and methods of analysis and participated in the progressive theorisation of medieval disability</w:t>
      </w:r>
      <w:r>
        <w:rPr>
          <w:vertAlign w:val="superscript"/>
        </w:rPr>
        <w:footnoteReference w:id="4"/>
      </w:r>
      <w:r>
        <w:t>. Through the study of an increasing diversity of textual, iconographic, and material sources, social and cultural factors that contributed to the living experiences of medieval disabled people are gradually brought to light</w:t>
      </w:r>
      <w:r>
        <w:rPr>
          <w:vertAlign w:val="superscript"/>
        </w:rPr>
        <w:footnoteReference w:id="5"/>
      </w:r>
      <w:r>
        <w:t>.</w:t>
      </w:r>
    </w:p>
    <w:p w14:paraId="0000000C" w14:textId="77777777" w:rsidR="00B31570" w:rsidRDefault="00000000">
      <w:pPr>
        <w:spacing w:before="240" w:after="240"/>
      </w:pPr>
      <w:r>
        <w:t xml:space="preserve">During this session, we would like to present several ways in which medievalists can appropriate the constructivist model of disability developed by Disability Studies to demonstrate how the lived experiences of disabled people evolve throughout history. We would also like to show how reflections and debates of our contemporary societies on the questions of autonomy, protection, and emancipation can influence the way we question our sources, whether we use these notions or others more appropriate for this time period, or the documentation we use. Those four communications would also be an opportunity to offer a nuanced vision of the living conditions of disabled people in the Middle Ages, in a </w:t>
      </w:r>
      <w:r>
        <w:lastRenderedPageBreak/>
        <w:t>society where their institutionalisation is still rare and where they are often thought of as systematically poor and excluded.</w:t>
      </w:r>
    </w:p>
    <w:p w14:paraId="0000000D" w14:textId="77777777" w:rsidR="00B31570" w:rsidRDefault="00000000">
      <w:r>
        <w:t xml:space="preserve">This session will defend the legitimacy and interest of medieval studies to highlight the variation of the dynamics between the forms of protection and the practices of autonomy and emancipation of disabled people throughout history (axe 2). The counterpoint of medieval studies allows us to dispassionately consider the terms of the contemporary debate on disability and to test their historicity. In this way, the </w:t>
      </w:r>
      <w:proofErr w:type="spellStart"/>
      <w:r>
        <w:t>decentering</w:t>
      </w:r>
      <w:proofErr w:type="spellEnd"/>
      <w:r>
        <w:t xml:space="preserve"> that we propose allows us to put contemporary concepts into perspective in order to better understand them. This session of medievalists is an opportunity to explore other ways of conceiving the dynamics between protection, autonomy, and emancipation.</w:t>
      </w:r>
    </w:p>
    <w:p w14:paraId="6B0D0CC1" w14:textId="77777777" w:rsidR="00ED510A" w:rsidRDefault="00000000">
      <w:pPr>
        <w:spacing w:before="120"/>
      </w:pPr>
      <w:r>
        <w:t xml:space="preserve">This session will rely on a vast panel of medieval documentation: practical testimonies of institutional life and administrative practices, miracle stories, disabled people’s art productions, and legislative documents from civil and ecclesiastical law. Each contribution will focus on one or several types of “disability” (physical impairments, leprosy, deafness, hand mutilation), understood as the social consequences of impairment. Individually, those talks will show that disabled people existed during medieval times, that they were globally protected but still were capable of agency in many (framed) ways in their society. </w:t>
      </w:r>
    </w:p>
    <w:p w14:paraId="0000000F" w14:textId="77777777" w:rsidR="00B31570" w:rsidRDefault="00000000">
      <w:pPr>
        <w:pStyle w:val="Titre2"/>
        <w:rPr>
          <w:sz w:val="26"/>
          <w:szCs w:val="26"/>
        </w:rPr>
      </w:pPr>
      <w:bookmarkStart w:id="2" w:name="_l2qxfskin7d1" w:colFirst="0" w:colLast="0"/>
      <w:bookmarkEnd w:id="2"/>
      <w:r>
        <w:rPr>
          <w:sz w:val="26"/>
          <w:szCs w:val="26"/>
        </w:rPr>
        <w:t>Léo Delaune</w:t>
      </w:r>
    </w:p>
    <w:p w14:paraId="00000010" w14:textId="77777777" w:rsidR="00B31570" w:rsidRDefault="00000000">
      <w:pPr>
        <w:jc w:val="center"/>
        <w:rPr>
          <w:b/>
        </w:rPr>
      </w:pPr>
      <w:r>
        <w:rPr>
          <w:b/>
        </w:rPr>
        <w:t>Participating in their own miracle: Assistance and agency in medieval miracle stories (12th-13th century)</w:t>
      </w:r>
    </w:p>
    <w:p w14:paraId="00000011" w14:textId="77777777" w:rsidR="00B31570" w:rsidRDefault="00B31570">
      <w:pPr>
        <w:jc w:val="center"/>
        <w:rPr>
          <w:b/>
        </w:rPr>
      </w:pPr>
    </w:p>
    <w:p w14:paraId="00000012" w14:textId="77777777" w:rsidR="00B31570" w:rsidRDefault="00000000">
      <w:r>
        <w:t>Faced with the scarcity of medieval sources on disabled people, historians of disability have to explore a great diversity of sources to find clues about their experiences and life trajectories. Among them are literary texts with disabled characters, whether they play a major role in the stories or not. Accounts of miraculous cures constitute a particularly rich source for medieval disability history. Composed primarily for the edification of the faithful, the principal function of these stories is to demonstrate the power of God, able to transcend the laws of nature to cure the incurable, and to show the perfection of the saints through which miracles are performed.</w:t>
      </w:r>
    </w:p>
    <w:p w14:paraId="00000013" w14:textId="77777777" w:rsidR="00B31570" w:rsidRDefault="00000000">
      <w:r>
        <w:t xml:space="preserve">However, when we are taking interest in the actions and the emotions attributed to disabled characters, we observe the diversity of their situations and the variety of their forms of participation in the process leading to their cure. While some of them initiate their quest for healing by choosing their pilgrimage or the saint they pray to, others follow the decision of their entourage or are granted a miracle without asking for it, thanks to the intervention of the holy healer. They also demonstrate diverse forms of agency in their movements and spiritual practices. Depending on the situation and the nature of their physical impairment (blindness, deafness, muteness, paralysis, lameness, etc.), some characters move and travel alone, others are assisted by guides or carriers, while others use a strategy to accommodate their inability, such as a pilgrimage in spirit. The age, gender, and social status of the characters have also a </w:t>
      </w:r>
      <w:r>
        <w:lastRenderedPageBreak/>
        <w:t xml:space="preserve">significant impact on their ability to make decisions for themselves, move freely, and practice their faith independently. </w:t>
      </w:r>
    </w:p>
    <w:p w14:paraId="00000014" w14:textId="77777777" w:rsidR="00B31570" w:rsidRDefault="00000000">
      <w:r>
        <w:t xml:space="preserve">It would be impossible and counterproductive for historians to establish which elements in these stories correspond to conventions of the literary genre or to real-life experiences of medieval disabled people. The interest in miracle stories lies in the fact that they were considered realistic and plausible by medieval audiences. In other words, disabled characters corresponded to medieval representations of disabled people and their life experiences. The richness and relevance of miracle stories for medieval disability history are no longer questioned today, thanks in part to the major works of Irina Metzler and Jenni </w:t>
      </w:r>
      <w:proofErr w:type="spellStart"/>
      <w:r>
        <w:t>Kuuliala</w:t>
      </w:r>
      <w:proofErr w:type="spellEnd"/>
      <w:r>
        <w:rPr>
          <w:vertAlign w:val="superscript"/>
        </w:rPr>
        <w:footnoteReference w:id="6"/>
      </w:r>
      <w:r>
        <w:t>.</w:t>
      </w:r>
    </w:p>
    <w:p w14:paraId="00000015" w14:textId="5522C0FF" w:rsidR="00B31570" w:rsidRDefault="00000000">
      <w:r>
        <w:t>Through several examples of medieval miracles found in western European manuscripts from the 12th and 13th centuries, I would like to highlight the diverse forms of agency shown by disabled characters in their search for a cure, whether in their decision-making, their movements, or their spiritual practices. I would also like to address the various forms of assistance they receive from their relatives, their servants, or their healers, whether it is punctual support or daily assistance.</w:t>
      </w:r>
    </w:p>
    <w:p w14:paraId="00000016" w14:textId="53C68AF4" w:rsidR="00B31570" w:rsidRDefault="00000000">
      <w:pPr>
        <w:pStyle w:val="Titre2"/>
        <w:rPr>
          <w:sz w:val="26"/>
          <w:szCs w:val="26"/>
        </w:rPr>
      </w:pPr>
      <w:bookmarkStart w:id="3" w:name="_9j5a1qklx1py" w:colFirst="0" w:colLast="0"/>
      <w:bookmarkEnd w:id="3"/>
      <w:r>
        <w:rPr>
          <w:sz w:val="26"/>
          <w:szCs w:val="26"/>
        </w:rPr>
        <w:t xml:space="preserve">Adam </w:t>
      </w:r>
      <w:proofErr w:type="spellStart"/>
      <w:r>
        <w:rPr>
          <w:sz w:val="26"/>
          <w:szCs w:val="26"/>
        </w:rPr>
        <w:t>Mirbeau</w:t>
      </w:r>
      <w:proofErr w:type="spellEnd"/>
    </w:p>
    <w:p w14:paraId="00000017" w14:textId="33D98A9B" w:rsidR="00B31570" w:rsidRDefault="00000000">
      <w:pPr>
        <w:ind w:firstLine="0"/>
        <w:jc w:val="center"/>
        <w:rPr>
          <w:b/>
        </w:rPr>
      </w:pPr>
      <w:r>
        <w:rPr>
          <w:b/>
        </w:rPr>
        <w:t>Priests with mutilated hand</w:t>
      </w:r>
      <w:r w:rsidR="00AC7ED2">
        <w:rPr>
          <w:b/>
        </w:rPr>
        <w:t>s</w:t>
      </w:r>
      <w:r>
        <w:rPr>
          <w:b/>
        </w:rPr>
        <w:t xml:space="preserve"> in canon law (1140-1234), </w:t>
      </w:r>
    </w:p>
    <w:p w14:paraId="00000018" w14:textId="77777777" w:rsidR="00B31570" w:rsidRDefault="00000000">
      <w:pPr>
        <w:ind w:firstLine="0"/>
        <w:jc w:val="center"/>
        <w:rPr>
          <w:b/>
        </w:rPr>
      </w:pPr>
      <w:r>
        <w:rPr>
          <w:b/>
        </w:rPr>
        <w:t>between the autonomy of celebrants and the protection of the faithful</w:t>
      </w:r>
    </w:p>
    <w:p w14:paraId="00000019" w14:textId="77777777" w:rsidR="00B31570" w:rsidRDefault="00B31570"/>
    <w:p w14:paraId="0000001A" w14:textId="77777777" w:rsidR="00B31570" w:rsidRDefault="00000000">
      <w:r>
        <w:t>This communication proposes to historicize the inclusion and autonomy of disabled people through a medieval example:  the prescriptions of canon law in the case of priests or aspirants to the priesthood with a mutilated hand.</w:t>
      </w:r>
    </w:p>
    <w:p w14:paraId="0000001B" w14:textId="77777777" w:rsidR="00B31570" w:rsidRDefault="00000000">
      <w:pPr>
        <w:ind w:firstLine="0"/>
      </w:pPr>
      <w:r>
        <w:t>From the 4th century, Christian authorities gradually established the rules governing the choice of ministers of religion. Those who presented a mutilated body were excluded from the orders because of their impurity</w:t>
      </w:r>
      <w:r>
        <w:rPr>
          <w:vertAlign w:val="superscript"/>
        </w:rPr>
        <w:footnoteReference w:id="7"/>
      </w:r>
      <w:r>
        <w:t xml:space="preserve">. These ancient rules of the Church were taken up and interpreted by the canon law that developed in the West from the 12th century. The most important compilation of this </w:t>
      </w:r>
      <w:proofErr w:type="spellStart"/>
      <w:r>
        <w:rPr>
          <w:i/>
        </w:rPr>
        <w:t>ius</w:t>
      </w:r>
      <w:proofErr w:type="spellEnd"/>
      <w:r>
        <w:rPr>
          <w:i/>
        </w:rPr>
        <w:t xml:space="preserve"> </w:t>
      </w:r>
      <w:proofErr w:type="spellStart"/>
      <w:r>
        <w:rPr>
          <w:i/>
        </w:rPr>
        <w:t>antiquum</w:t>
      </w:r>
      <w:proofErr w:type="spellEnd"/>
      <w:r>
        <w:t xml:space="preserve"> ("ancient law") was composed in the 1140s in Bologna, Italy. It was the </w:t>
      </w:r>
      <w:r>
        <w:rPr>
          <w:i/>
        </w:rPr>
        <w:t>Decree</w:t>
      </w:r>
      <w:r>
        <w:t xml:space="preserve"> of Gratian, which was widely distributed from the time of its composition and became the basis for the teaching of canon law for the masters of the universities, who wrote glosses and commentaries on it. In addition to the </w:t>
      </w:r>
      <w:r>
        <w:rPr>
          <w:i/>
        </w:rPr>
        <w:t>Decree</w:t>
      </w:r>
      <w:r>
        <w:t xml:space="preserve">, its glosses, and commentaries by some Italian and French masters of the 12th century, the corpus of canon law on which this communication is based is also composed of five compilations (the </w:t>
      </w:r>
      <w:proofErr w:type="spellStart"/>
      <w:r>
        <w:rPr>
          <w:i/>
        </w:rPr>
        <w:t>Quinque</w:t>
      </w:r>
      <w:proofErr w:type="spellEnd"/>
      <w:r>
        <w:rPr>
          <w:i/>
        </w:rPr>
        <w:t xml:space="preserve"> </w:t>
      </w:r>
      <w:proofErr w:type="spellStart"/>
      <w:r>
        <w:rPr>
          <w:i/>
        </w:rPr>
        <w:t>compilationes</w:t>
      </w:r>
      <w:proofErr w:type="spellEnd"/>
      <w:r>
        <w:rPr>
          <w:i/>
        </w:rPr>
        <w:t xml:space="preserve"> </w:t>
      </w:r>
      <w:proofErr w:type="spellStart"/>
      <w:r>
        <w:rPr>
          <w:i/>
        </w:rPr>
        <w:t>antiquæ</w:t>
      </w:r>
      <w:proofErr w:type="spellEnd"/>
      <w:r>
        <w:t xml:space="preserve">) collecting papal decretals produced in the period 1140-1234 and chosen by the canonists of the time for their interest in completing the </w:t>
      </w:r>
      <w:r>
        <w:rPr>
          <w:i/>
        </w:rPr>
        <w:t>Decree</w:t>
      </w:r>
      <w:r>
        <w:t xml:space="preserve"> of Gratian. </w:t>
      </w:r>
    </w:p>
    <w:p w14:paraId="0000001C" w14:textId="77777777" w:rsidR="00B31570" w:rsidRDefault="00000000">
      <w:pPr>
        <w:ind w:firstLine="0"/>
      </w:pPr>
      <w:r>
        <w:lastRenderedPageBreak/>
        <w:t>Of all the impairments debated by canonists as to whether or not they prevented access to the priesthood, one is particularly stimulating to study: the mutilated hand. Indeed, the physical hand had many applications in canon law</w:t>
      </w:r>
      <w:r>
        <w:rPr>
          <w:vertAlign w:val="superscript"/>
        </w:rPr>
        <w:footnoteReference w:id="8"/>
      </w:r>
      <w:r>
        <w:t>. As an instrument of human action, it carried out the will of the priest who consecrated, blessed, and administered the sacraments to the faithful.</w:t>
      </w:r>
    </w:p>
    <w:p w14:paraId="0000001D" w14:textId="77777777" w:rsidR="00B31570" w:rsidRDefault="00000000">
      <w:pPr>
        <w:ind w:firstLine="0"/>
      </w:pPr>
      <w:r>
        <w:t xml:space="preserve">For canonists, the impediment of a priest with a mutilated hand from entering the priesthood was determined by criteria for evaluating his autonomy, namely his capacity for choice and action. Through the body, seen as a "partial reflection of the individual's choices" (Ch. </w:t>
      </w:r>
      <w:proofErr w:type="spellStart"/>
      <w:r>
        <w:t>Pichot</w:t>
      </w:r>
      <w:proofErr w:type="spellEnd"/>
      <w:r>
        <w:t>), canonists evaluated the priest's capacity for choice</w:t>
      </w:r>
      <w:r>
        <w:rPr>
          <w:vertAlign w:val="superscript"/>
        </w:rPr>
        <w:footnoteReference w:id="9"/>
      </w:r>
      <w:r>
        <w:t xml:space="preserve">. If a priest had voluntarily chosen to mutilate himself, he could not enter the priesthood. On the contrary, if his mutilation was accidental or natural, it did not prevent him from entering holy orders. As for the priest's capacity to act, it was that which allows him to administer the sacraments according to the mutilated limb (left or right hand, fingers, nails, etc.), according to the visibility of the mutilation, and according to the functional capacity of the body to perform the sacramental gestures in safety.  </w:t>
      </w:r>
    </w:p>
    <w:p w14:paraId="0000001E" w14:textId="77777777" w:rsidR="00B31570" w:rsidRDefault="00000000">
      <w:pPr>
        <w:ind w:firstLine="0"/>
      </w:pPr>
      <w:r>
        <w:t xml:space="preserve">Thus, the objective criterion of the type of impairment (a mutilated hand) alone was not sufficient for canonists to determine whether or not a priest could celebrate the sacraments. Priests with a mutilated hand were not </w:t>
      </w:r>
      <w:r>
        <w:rPr>
          <w:i/>
        </w:rPr>
        <w:t>a priori</w:t>
      </w:r>
      <w:r>
        <w:t xml:space="preserve"> incapables of autonomy. Rather, they were in a relationship</w:t>
      </w:r>
      <w:r>
        <w:rPr>
          <w:highlight w:val="white"/>
        </w:rPr>
        <w:t xml:space="preserve"> of interdependence with the faithful</w:t>
      </w:r>
      <w:r>
        <w:rPr>
          <w:highlight w:val="white"/>
          <w:vertAlign w:val="superscript"/>
        </w:rPr>
        <w:footnoteReference w:id="10"/>
      </w:r>
      <w:r>
        <w:rPr>
          <w:highlight w:val="white"/>
        </w:rPr>
        <w:t xml:space="preserve">. </w:t>
      </w:r>
      <w:r>
        <w:t>Canon law established prescriptions that aim to protect the faithful from the scandal that a deformed and visible mutilation could cause. The faithful were also protected by the guarantee that their priest had a body functionally capable of performing the sacramental gestures necessary for the salvation of the faithful in a Christian context. Ultimately, this communication proposes to highlight how in the Middle Ages disabled people with a mutilated hand were integrated into the priesthood by canonists who evaluated their autonomy (capacity for choice and capacity for action) and considered the relationship of interdependence with the faithful.</w:t>
      </w:r>
    </w:p>
    <w:p w14:paraId="00000025" w14:textId="77777777" w:rsidR="00B31570" w:rsidRDefault="00000000">
      <w:pPr>
        <w:pStyle w:val="Titre2"/>
        <w:jc w:val="left"/>
        <w:rPr>
          <w:b/>
        </w:rPr>
      </w:pPr>
      <w:bookmarkStart w:id="5" w:name="_mg2inj4arrit" w:colFirst="0" w:colLast="0"/>
      <w:bookmarkStart w:id="6" w:name="_lbh1u4bolce6" w:colFirst="0" w:colLast="0"/>
      <w:bookmarkEnd w:id="5"/>
      <w:bookmarkEnd w:id="6"/>
      <w:r>
        <w:rPr>
          <w:sz w:val="26"/>
          <w:szCs w:val="26"/>
        </w:rPr>
        <w:t xml:space="preserve">Megan </w:t>
      </w:r>
      <w:proofErr w:type="spellStart"/>
      <w:r>
        <w:rPr>
          <w:sz w:val="26"/>
          <w:szCs w:val="26"/>
        </w:rPr>
        <w:t>Kateb</w:t>
      </w:r>
      <w:proofErr w:type="spellEnd"/>
      <w:r>
        <w:rPr>
          <w:sz w:val="26"/>
          <w:szCs w:val="26"/>
        </w:rPr>
        <w:t xml:space="preserve"> </w:t>
      </w:r>
      <w:r>
        <w:rPr>
          <w:b/>
        </w:rPr>
        <w:t xml:space="preserve"> </w:t>
      </w:r>
    </w:p>
    <w:p w14:paraId="00000026" w14:textId="77777777" w:rsidR="00B31570" w:rsidRDefault="00000000">
      <w:pPr>
        <w:spacing w:after="0"/>
        <w:ind w:firstLine="0"/>
        <w:jc w:val="center"/>
        <w:rPr>
          <w:b/>
        </w:rPr>
      </w:pPr>
      <w:r>
        <w:rPr>
          <w:b/>
        </w:rPr>
        <w:t>Is Art a vector of social emancipation? Being deaf in the 15th Century in Europe.</w:t>
      </w:r>
    </w:p>
    <w:p w14:paraId="00000027" w14:textId="77777777" w:rsidR="00B31570" w:rsidRDefault="00B31570">
      <w:pPr>
        <w:spacing w:after="0"/>
        <w:ind w:firstLine="0"/>
      </w:pPr>
    </w:p>
    <w:p w14:paraId="00000028" w14:textId="77777777" w:rsidR="00B31570" w:rsidRDefault="00000000">
      <w:pPr>
        <w:spacing w:after="0"/>
        <w:ind w:firstLine="0"/>
      </w:pPr>
      <w:r>
        <w:tab/>
        <w:t>Being deaf is a condition that raises many questions: about the ways of communication, the considerations, and realities in social, educational, and legal situations, etc. By making a quick shortcut, we could think that medieval European societies, governed by Christianity, systematically equated speech and hearing with intelligence and reason</w:t>
      </w:r>
      <w:r>
        <w:rPr>
          <w:vertAlign w:val="superscript"/>
        </w:rPr>
        <w:footnoteReference w:id="11"/>
      </w:r>
      <w:r>
        <w:t>. We know today, through historiography and new research in Deaf Studies</w:t>
      </w:r>
      <w:r>
        <w:rPr>
          <w:vertAlign w:val="superscript"/>
        </w:rPr>
        <w:footnoteReference w:id="12"/>
      </w:r>
      <w:r>
        <w:t xml:space="preserve"> </w:t>
      </w:r>
      <w:r>
        <w:rPr>
          <w:vertAlign w:val="superscript"/>
        </w:rPr>
        <w:footnoteReference w:id="13"/>
      </w:r>
      <w:r>
        <w:t xml:space="preserve">, that the reality is quite different and that deaf people in the Middle Ages did not have lives so different from the other members of their social class. </w:t>
      </w:r>
    </w:p>
    <w:p w14:paraId="00000029" w14:textId="77777777" w:rsidR="00B31570" w:rsidRDefault="00000000">
      <w:pPr>
        <w:spacing w:after="0"/>
      </w:pPr>
      <w:r>
        <w:lastRenderedPageBreak/>
        <w:t xml:space="preserve">Since antiquity and Quintus </w:t>
      </w:r>
      <w:proofErr w:type="spellStart"/>
      <w:r>
        <w:t>Pedius</w:t>
      </w:r>
      <w:proofErr w:type="spellEnd"/>
      <w:r>
        <w:t xml:space="preserve"> (1st century BC), an educated painter, son of a senator, and grandson of a consul</w:t>
      </w:r>
      <w:r>
        <w:rPr>
          <w:vertAlign w:val="superscript"/>
        </w:rPr>
        <w:footnoteReference w:id="14"/>
      </w:r>
      <w:r>
        <w:t xml:space="preserve">, many deaf artists </w:t>
      </w:r>
      <w:r>
        <w:rPr>
          <w:highlight w:val="white"/>
        </w:rPr>
        <w:t>and authors</w:t>
      </w:r>
      <w:r>
        <w:t xml:space="preserve"> have followed to the point of influencing global art history and literature. Indeed, Art is a subjective mode of expression that allows artists to express their world’s vision without necessarily using speech: could being a deaf artist in medieval European society be a way of emancipation?</w:t>
      </w:r>
    </w:p>
    <w:p w14:paraId="0000002A" w14:textId="6479D576" w:rsidR="00B31570" w:rsidRDefault="00000000">
      <w:pPr>
        <w:spacing w:after="0"/>
        <w:ind w:firstLine="0"/>
      </w:pPr>
      <w:r>
        <w:tab/>
        <w:t xml:space="preserve">In order to understand to what extent Art could be a vector of social emancipation for medieval deaf people, it is necessary first to take stock of their rights and prohibitions in accordance with </w:t>
      </w:r>
      <w:r w:rsidR="00AC7ED2">
        <w:t>the jurisdiction</w:t>
      </w:r>
      <w:r>
        <w:t xml:space="preserve">. Secondly, I will approach the possibilities of education for deaf people. Thirdly, in order to detach ourselves from the stereotypes of the "marginal deaf", I will highlight the life paths of three deaf artists of the 15th century: John </w:t>
      </w:r>
      <w:proofErr w:type="spellStart"/>
      <w:r>
        <w:t>Audelay</w:t>
      </w:r>
      <w:proofErr w:type="spellEnd"/>
      <w:r>
        <w:t xml:space="preserve">, a British deaf-blind author, Cristoforo de </w:t>
      </w:r>
      <w:proofErr w:type="spellStart"/>
      <w:r>
        <w:t>Predis</w:t>
      </w:r>
      <w:proofErr w:type="spellEnd"/>
      <w:r>
        <w:t xml:space="preserve">, an Italian illuminator, and </w:t>
      </w:r>
      <w:proofErr w:type="spellStart"/>
      <w:r>
        <w:t>Pinturrichio</w:t>
      </w:r>
      <w:proofErr w:type="spellEnd"/>
      <w:r>
        <w:t>, an Italian painter.</w:t>
      </w:r>
    </w:p>
    <w:p w14:paraId="0000002B" w14:textId="419D10CB" w:rsidR="00B31570" w:rsidRDefault="00000000">
      <w:pPr>
        <w:spacing w:after="0"/>
        <w:ind w:firstLine="0"/>
      </w:pPr>
      <w:r>
        <w:tab/>
        <w:t xml:space="preserve">Studying deaf </w:t>
      </w:r>
      <w:r w:rsidR="00AC7ED2">
        <w:t>medieval</w:t>
      </w:r>
      <w:r>
        <w:t xml:space="preserve"> sources involves two particular difficulties: firstly, we must understand that there are as many </w:t>
      </w:r>
      <w:proofErr w:type="spellStart"/>
      <w:r>
        <w:t>deafnesses</w:t>
      </w:r>
      <w:proofErr w:type="spellEnd"/>
      <w:r>
        <w:t xml:space="preserve"> as there are deaf people. In order to imagine their general living environment, we, therefore, need to </w:t>
      </w:r>
      <w:r>
        <w:rPr>
          <w:highlight w:val="white"/>
        </w:rPr>
        <w:t>regroup them according to major common characteristics</w:t>
      </w:r>
      <w:r>
        <w:t>: speaking deaf, signing deaf, hearing reception, social class, education, gender, etc - which is sometimes not fully documented in the sources. Secondly, we also need to take into account that we have much more information about the individualities of deaf people with higher social status than others</w:t>
      </w:r>
      <w:r>
        <w:rPr>
          <w:vertAlign w:val="superscript"/>
        </w:rPr>
        <w:footnoteReference w:id="15"/>
      </w:r>
      <w:r>
        <w:t xml:space="preserve">. To guide us through this dispersion of sources, we will have to rely on the </w:t>
      </w:r>
      <w:r>
        <w:rPr>
          <w:i/>
        </w:rPr>
        <w:t xml:space="preserve">Corpus juris </w:t>
      </w:r>
      <w:proofErr w:type="spellStart"/>
      <w:r>
        <w:rPr>
          <w:i/>
        </w:rPr>
        <w:t>civilis</w:t>
      </w:r>
      <w:proofErr w:type="spellEnd"/>
      <w:r>
        <w:t xml:space="preserve"> of Justinian, the solidarities visible through guilds’ regulations, rules of life, processes of canonization, as well as on biographies of the deaf artists mentioned above. The historian’s work, here, is to correlate various elements in order to create a retrospective synthesis of the life of medieval deaf people.</w:t>
      </w:r>
    </w:p>
    <w:p w14:paraId="743E51D1" w14:textId="77777777" w:rsidR="00ED510A" w:rsidRDefault="00000000" w:rsidP="00ED510A">
      <w:pPr>
        <w:spacing w:after="0"/>
        <w:ind w:firstLine="0"/>
      </w:pPr>
      <w:r>
        <w:tab/>
        <w:t>To conclude, following the logic of protection, autonomy, and emancipation, this talk, while taking into account that it is based mainly on the condition of educated or well-born European men, will try to demonstrate that deaf people, whatever they are, did not necessarily have fewer possibilities than the hearing mass to evolve and accomplish themselves in the artistic field.</w:t>
      </w:r>
      <w:bookmarkStart w:id="7" w:name="_4opi3qi1bu7i" w:colFirst="0" w:colLast="0"/>
      <w:bookmarkStart w:id="8" w:name="_c7nzwu9cpc9n" w:colFirst="0" w:colLast="0"/>
      <w:bookmarkEnd w:id="7"/>
      <w:bookmarkEnd w:id="8"/>
    </w:p>
    <w:p w14:paraId="0000002E" w14:textId="09EA3021" w:rsidR="00B31570" w:rsidRPr="00ED510A" w:rsidRDefault="00000000" w:rsidP="00ED510A">
      <w:pPr>
        <w:pStyle w:val="Titre2"/>
        <w:rPr>
          <w:sz w:val="26"/>
          <w:szCs w:val="26"/>
        </w:rPr>
      </w:pPr>
      <w:r w:rsidRPr="00ED510A">
        <w:rPr>
          <w:sz w:val="26"/>
          <w:szCs w:val="26"/>
        </w:rPr>
        <w:t>Ninon Dubourg</w:t>
      </w:r>
    </w:p>
    <w:p w14:paraId="0000002F" w14:textId="77777777" w:rsidR="00B31570" w:rsidRDefault="00000000">
      <w:pPr>
        <w:spacing w:after="0" w:line="240" w:lineRule="auto"/>
        <w:jc w:val="center"/>
        <w:rPr>
          <w:b/>
        </w:rPr>
      </w:pPr>
      <w:r>
        <w:rPr>
          <w:b/>
        </w:rPr>
        <w:t xml:space="preserve"> “</w:t>
      </w:r>
      <w:proofErr w:type="spellStart"/>
      <w:r>
        <w:rPr>
          <w:b/>
        </w:rPr>
        <w:t>Morte</w:t>
      </w:r>
      <w:proofErr w:type="spellEnd"/>
      <w:r>
        <w:rPr>
          <w:b/>
        </w:rPr>
        <w:t xml:space="preserve"> a </w:t>
      </w:r>
      <w:proofErr w:type="spellStart"/>
      <w:r>
        <w:rPr>
          <w:b/>
        </w:rPr>
        <w:t>ce</w:t>
      </w:r>
      <w:proofErr w:type="spellEnd"/>
      <w:r>
        <w:rPr>
          <w:b/>
        </w:rPr>
        <w:t xml:space="preserve"> monde”, living in the leprosarium of </w:t>
      </w:r>
      <w:proofErr w:type="spellStart"/>
      <w:r>
        <w:rPr>
          <w:b/>
        </w:rPr>
        <w:t>Cornillon</w:t>
      </w:r>
      <w:proofErr w:type="spellEnd"/>
      <w:r>
        <w:rPr>
          <w:b/>
        </w:rPr>
        <w:t xml:space="preserve"> (Liège) in the 15</w:t>
      </w:r>
      <w:r>
        <w:rPr>
          <w:b/>
          <w:vertAlign w:val="superscript"/>
        </w:rPr>
        <w:t>th</w:t>
      </w:r>
      <w:r>
        <w:rPr>
          <w:b/>
        </w:rPr>
        <w:t xml:space="preserve"> century.</w:t>
      </w:r>
    </w:p>
    <w:p w14:paraId="00000030" w14:textId="77777777" w:rsidR="00B31570" w:rsidRDefault="00B31570"/>
    <w:p w14:paraId="00000031" w14:textId="77777777" w:rsidR="00B31570" w:rsidRDefault="00000000">
      <w:r>
        <w:t xml:space="preserve">The leprosarium of </w:t>
      </w:r>
      <w:proofErr w:type="spellStart"/>
      <w:r>
        <w:t>Cornillon</w:t>
      </w:r>
      <w:proofErr w:type="spellEnd"/>
      <w:r>
        <w:t>, founded before 1176, was one of the richest charitable institutions in the city of Liège, which was in charge of its management. This institution consisted of four communities of healthy and unhealthy (as we cannot be sure that “leprous” people were indeed ill of leprosy) people: sick and healthy men, sick and healthy women, who were living under the direction of two priors (one man and one woman). The city had to limit the number of healthy prebendaries to 18 brothers and sisters in 1347, to be able to house between min. 6 to max. 15 “leprous” people during the 15</w:t>
      </w:r>
      <w:r>
        <w:rPr>
          <w:vertAlign w:val="superscript"/>
        </w:rPr>
        <w:t>th</w:t>
      </w:r>
      <w:r>
        <w:t xml:space="preserve"> century. Then, cohabited an equal number of healthy and unhealthy people in this institution.</w:t>
      </w:r>
    </w:p>
    <w:p w14:paraId="00000032" w14:textId="77777777" w:rsidR="00B31570" w:rsidRDefault="00000000">
      <w:r>
        <w:lastRenderedPageBreak/>
        <w:t>Throughout Europe in these centuries, entering a leprosarium was done more or less voluntarily, and meant giving up all material possessions while embracing a semi-monastic life. Generally, they did not enter the community empty-handed but were obliged to bring with them the necessary items to establish their new lives</w:t>
      </w:r>
      <w:r>
        <w:rPr>
          <w:vertAlign w:val="superscript"/>
        </w:rPr>
        <w:footnoteReference w:id="16"/>
      </w:r>
      <w:r>
        <w:t>. In this respect, entry into a leprosarium was similar to entry into the orders, as some residents of the leper hospitals were tonsured like monks, visually affirming their cloistered identity</w:t>
      </w:r>
      <w:r>
        <w:rPr>
          <w:vertAlign w:val="superscript"/>
        </w:rPr>
        <w:footnoteReference w:id="17"/>
      </w:r>
      <w:r>
        <w:t xml:space="preserve">. In exchange, “leprous” people were housed, fed, and cared for by the convent. Male and female “lepers”, whether single or in couples, as it was authorized in Liège, were therefore under the protection of monks and nuns, and theoretically enclosed in a protected area. Protection for the others (because of the “risk” of physical and/or spiritual contagion), but mostly protection for themselves: they might have chosen to enter a leper community rather than be isolated in an individual house, as this was also authorised. The fraternity that arose from the common life of men, and women, brought together in sickness might offer a better social bond than the alternative. </w:t>
      </w:r>
    </w:p>
    <w:p w14:paraId="00000033" w14:textId="77777777" w:rsidR="00B31570" w:rsidRDefault="00000000">
      <w:r>
        <w:t>The medieval documents show that the framing of this community life within a religious institution did not take away any agency or solidarity from “leprous people”, but highlighted how they could participate in their enclosed life without being only patients. Several regulations were issued to specify the rights and obligations of the healthy and ill members of the community (single and/or married) which informs us about many aspects of their daily life (in 1507, 1538). In addition, the state archives in Liège contain documents relating to the administration, notably several registers of accounts which testify to the distribution of the budget and give us information on the various income and items of expenditure (containing several lists of life pensions and salaries), along with the personal accounts of the priors and prioresses, the healthy (</w:t>
      </w:r>
      <w:proofErr w:type="spellStart"/>
      <w:r>
        <w:rPr>
          <w:i/>
        </w:rPr>
        <w:t>prébendiers</w:t>
      </w:r>
      <w:proofErr w:type="spellEnd"/>
      <w:r>
        <w:t>) and sick (</w:t>
      </w:r>
      <w:r>
        <w:rPr>
          <w:i/>
        </w:rPr>
        <w:t>leprous</w:t>
      </w:r>
      <w:r>
        <w:t xml:space="preserve">) brothers and sisters of </w:t>
      </w:r>
      <w:proofErr w:type="spellStart"/>
      <w:r>
        <w:t>Cornillon</w:t>
      </w:r>
      <w:proofErr w:type="spellEnd"/>
      <w:r>
        <w:t xml:space="preserve"> and their servants, listed by name</w:t>
      </w:r>
      <w:r>
        <w:rPr>
          <w:vertAlign w:val="superscript"/>
        </w:rPr>
        <w:footnoteReference w:id="18"/>
      </w:r>
      <w:r>
        <w:t>. It is for example documented that some lepers worked in the vineyards around Liège while being relatively excluded from medieval society as a whole.</w:t>
      </w:r>
    </w:p>
    <w:p w14:paraId="00000034" w14:textId="77777777" w:rsidR="00B31570" w:rsidRDefault="00000000">
      <w:r>
        <w:t>Thus, I will try to show that, although one cannot really speak of autonomy and even less of emancipation in the medieval period, but rather of a model of autarkic life, “leprous” people did not remain inactive in a relationship of domination and/or as patients, but played fundamental roles in the quotidian life of their community.</w:t>
      </w:r>
    </w:p>
    <w:sectPr w:rsidR="00B31570">
      <w:headerReference w:type="default" r:id="rId6"/>
      <w:footerReference w:type="default" r:id="rId7"/>
      <w:pgSz w:w="12240" w:h="15840"/>
      <w:pgMar w:top="1440" w:right="1440" w:bottom="1440" w:left="1440" w:header="72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DDC751" w14:textId="77777777" w:rsidR="00565E9F" w:rsidRDefault="00565E9F">
      <w:pPr>
        <w:spacing w:after="0" w:line="240" w:lineRule="auto"/>
      </w:pPr>
      <w:r>
        <w:separator/>
      </w:r>
    </w:p>
  </w:endnote>
  <w:endnote w:type="continuationSeparator" w:id="0">
    <w:p w14:paraId="4D5054BD" w14:textId="77777777" w:rsidR="00565E9F" w:rsidRDefault="00565E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3B" w14:textId="3A12E9FD" w:rsidR="00B31570" w:rsidRDefault="00000000">
    <w:pPr>
      <w:jc w:val="right"/>
    </w:pPr>
    <w:r>
      <w:fldChar w:fldCharType="begin"/>
    </w:r>
    <w:r>
      <w:instrText>PAGE</w:instrText>
    </w:r>
    <w:r>
      <w:fldChar w:fldCharType="separate"/>
    </w:r>
    <w:r w:rsidR="00ED510A">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8E8D66" w14:textId="77777777" w:rsidR="00565E9F" w:rsidRDefault="00565E9F">
      <w:pPr>
        <w:spacing w:after="0" w:line="240" w:lineRule="auto"/>
      </w:pPr>
      <w:r>
        <w:separator/>
      </w:r>
    </w:p>
  </w:footnote>
  <w:footnote w:type="continuationSeparator" w:id="0">
    <w:p w14:paraId="6462B56D" w14:textId="77777777" w:rsidR="00565E9F" w:rsidRDefault="00565E9F">
      <w:pPr>
        <w:spacing w:after="0" w:line="240" w:lineRule="auto"/>
      </w:pPr>
      <w:r>
        <w:continuationSeparator/>
      </w:r>
    </w:p>
  </w:footnote>
  <w:footnote w:id="1">
    <w:p w14:paraId="0000004B" w14:textId="0ACAB261" w:rsidR="00B31570" w:rsidRPr="00ED510A" w:rsidRDefault="00000000" w:rsidP="00ED510A">
      <w:pPr>
        <w:spacing w:after="0" w:line="240" w:lineRule="auto"/>
        <w:ind w:firstLine="0"/>
        <w:rPr>
          <w:sz w:val="18"/>
          <w:szCs w:val="18"/>
        </w:rPr>
      </w:pPr>
      <w:r w:rsidRPr="00ED510A">
        <w:rPr>
          <w:sz w:val="18"/>
          <w:szCs w:val="18"/>
          <w:vertAlign w:val="superscript"/>
        </w:rPr>
        <w:footnoteRef/>
      </w:r>
      <w:r w:rsidRPr="00ED510A">
        <w:rPr>
          <w:sz w:val="18"/>
          <w:szCs w:val="18"/>
        </w:rPr>
        <w:t xml:space="preserve"> </w:t>
      </w:r>
      <w:proofErr w:type="spellStart"/>
      <w:r w:rsidR="00B3138E">
        <w:rPr>
          <w:sz w:val="18"/>
          <w:szCs w:val="18"/>
        </w:rPr>
        <w:t>Stiker</w:t>
      </w:r>
      <w:proofErr w:type="spellEnd"/>
      <w:r w:rsidR="00B3138E">
        <w:rPr>
          <w:sz w:val="18"/>
          <w:szCs w:val="18"/>
        </w:rPr>
        <w:t xml:space="preserve"> </w:t>
      </w:r>
      <w:r w:rsidRPr="00ED510A">
        <w:rPr>
          <w:sz w:val="18"/>
          <w:szCs w:val="18"/>
        </w:rPr>
        <w:t xml:space="preserve">Henri-Jacques, </w:t>
      </w:r>
      <w:proofErr w:type="spellStart"/>
      <w:r w:rsidR="00B3138E">
        <w:rPr>
          <w:sz w:val="18"/>
          <w:szCs w:val="18"/>
        </w:rPr>
        <w:t>Ravaud</w:t>
      </w:r>
      <w:proofErr w:type="spellEnd"/>
      <w:r w:rsidR="00B3138E">
        <w:rPr>
          <w:sz w:val="18"/>
          <w:szCs w:val="18"/>
        </w:rPr>
        <w:t xml:space="preserve"> </w:t>
      </w:r>
      <w:r w:rsidRPr="00ED510A">
        <w:rPr>
          <w:sz w:val="18"/>
          <w:szCs w:val="18"/>
        </w:rPr>
        <w:t xml:space="preserve">Jean-François </w:t>
      </w:r>
      <w:r w:rsidR="00F908EB">
        <w:rPr>
          <w:sz w:val="18"/>
          <w:szCs w:val="18"/>
        </w:rPr>
        <w:t>and</w:t>
      </w:r>
      <w:r w:rsidRPr="00ED510A">
        <w:rPr>
          <w:sz w:val="18"/>
          <w:szCs w:val="18"/>
        </w:rPr>
        <w:t xml:space="preserve"> </w:t>
      </w:r>
      <w:r w:rsidR="00B3138E">
        <w:rPr>
          <w:sz w:val="18"/>
          <w:szCs w:val="18"/>
        </w:rPr>
        <w:t xml:space="preserve">Albrecht </w:t>
      </w:r>
      <w:r w:rsidRPr="00ED510A">
        <w:rPr>
          <w:sz w:val="18"/>
          <w:szCs w:val="18"/>
        </w:rPr>
        <w:t xml:space="preserve">Gary L., </w:t>
      </w:r>
      <w:bookmarkStart w:id="0" w:name="_Hlk125044171"/>
      <w:r w:rsidRPr="00ED510A">
        <w:rPr>
          <w:sz w:val="18"/>
          <w:szCs w:val="18"/>
        </w:rPr>
        <w:t>«</w:t>
      </w:r>
      <w:bookmarkEnd w:id="0"/>
      <w:r w:rsidRPr="00ED510A">
        <w:rPr>
          <w:sz w:val="18"/>
          <w:szCs w:val="18"/>
        </w:rPr>
        <w:t xml:space="preserve"> </w:t>
      </w:r>
      <w:proofErr w:type="spellStart"/>
      <w:r w:rsidRPr="00ED510A">
        <w:rPr>
          <w:sz w:val="18"/>
          <w:szCs w:val="18"/>
        </w:rPr>
        <w:t>L’émergence</w:t>
      </w:r>
      <w:proofErr w:type="spellEnd"/>
      <w:r w:rsidRPr="00ED510A">
        <w:rPr>
          <w:sz w:val="18"/>
          <w:szCs w:val="18"/>
        </w:rPr>
        <w:t xml:space="preserve"> des disability studies: </w:t>
      </w:r>
      <w:proofErr w:type="spellStart"/>
      <w:r w:rsidRPr="00ED510A">
        <w:rPr>
          <w:sz w:val="18"/>
          <w:szCs w:val="18"/>
        </w:rPr>
        <w:t>état</w:t>
      </w:r>
      <w:proofErr w:type="spellEnd"/>
      <w:r w:rsidRPr="00ED510A">
        <w:rPr>
          <w:sz w:val="18"/>
          <w:szCs w:val="18"/>
        </w:rPr>
        <w:t xml:space="preserve"> des </w:t>
      </w:r>
      <w:proofErr w:type="spellStart"/>
      <w:r w:rsidRPr="00ED510A">
        <w:rPr>
          <w:sz w:val="18"/>
          <w:szCs w:val="18"/>
        </w:rPr>
        <w:t>lieux</w:t>
      </w:r>
      <w:proofErr w:type="spellEnd"/>
      <w:r w:rsidRPr="00ED510A">
        <w:rPr>
          <w:sz w:val="18"/>
          <w:szCs w:val="18"/>
        </w:rPr>
        <w:t xml:space="preserve"> et perspectives </w:t>
      </w:r>
      <w:bookmarkStart w:id="1" w:name="_Hlk125044181"/>
      <w:r w:rsidRPr="00ED510A">
        <w:rPr>
          <w:sz w:val="18"/>
          <w:szCs w:val="18"/>
        </w:rPr>
        <w:t>»</w:t>
      </w:r>
      <w:bookmarkEnd w:id="1"/>
      <w:r w:rsidRPr="00ED510A">
        <w:rPr>
          <w:sz w:val="18"/>
          <w:szCs w:val="18"/>
        </w:rPr>
        <w:t xml:space="preserve">, </w:t>
      </w:r>
      <w:r w:rsidRPr="00ED510A">
        <w:rPr>
          <w:i/>
          <w:sz w:val="18"/>
          <w:szCs w:val="18"/>
        </w:rPr>
        <w:t xml:space="preserve">Sciences </w:t>
      </w:r>
      <w:proofErr w:type="spellStart"/>
      <w:r w:rsidRPr="00ED510A">
        <w:rPr>
          <w:i/>
          <w:sz w:val="18"/>
          <w:szCs w:val="18"/>
        </w:rPr>
        <w:t>sociales</w:t>
      </w:r>
      <w:proofErr w:type="spellEnd"/>
      <w:r w:rsidRPr="00ED510A">
        <w:rPr>
          <w:i/>
          <w:sz w:val="18"/>
          <w:szCs w:val="18"/>
        </w:rPr>
        <w:t xml:space="preserve"> et </w:t>
      </w:r>
      <w:proofErr w:type="spellStart"/>
      <w:r w:rsidRPr="00ED510A">
        <w:rPr>
          <w:i/>
          <w:sz w:val="18"/>
          <w:szCs w:val="18"/>
        </w:rPr>
        <w:t>santé</w:t>
      </w:r>
      <w:proofErr w:type="spellEnd"/>
      <w:r w:rsidRPr="00ED510A">
        <w:rPr>
          <w:sz w:val="18"/>
          <w:szCs w:val="18"/>
        </w:rPr>
        <w:t>, 19-4</w:t>
      </w:r>
      <w:r w:rsidR="00B3138E">
        <w:rPr>
          <w:sz w:val="18"/>
          <w:szCs w:val="18"/>
        </w:rPr>
        <w:t xml:space="preserve"> (</w:t>
      </w:r>
      <w:r w:rsidRPr="00ED510A">
        <w:rPr>
          <w:sz w:val="18"/>
          <w:szCs w:val="18"/>
        </w:rPr>
        <w:t>2001</w:t>
      </w:r>
      <w:r w:rsidR="00B3138E">
        <w:rPr>
          <w:sz w:val="18"/>
          <w:szCs w:val="18"/>
        </w:rPr>
        <w:t>)</w:t>
      </w:r>
      <w:r w:rsidRPr="00ED510A">
        <w:rPr>
          <w:sz w:val="18"/>
          <w:szCs w:val="18"/>
        </w:rPr>
        <w:t>, p</w:t>
      </w:r>
      <w:r w:rsidR="00B3138E">
        <w:rPr>
          <w:sz w:val="18"/>
          <w:szCs w:val="18"/>
        </w:rPr>
        <w:t>p</w:t>
      </w:r>
      <w:r w:rsidRPr="00ED510A">
        <w:rPr>
          <w:sz w:val="18"/>
          <w:szCs w:val="18"/>
        </w:rPr>
        <w:t>. 43‑73.</w:t>
      </w:r>
    </w:p>
  </w:footnote>
  <w:footnote w:id="2">
    <w:p w14:paraId="0000004A" w14:textId="1BD80884" w:rsidR="00B31570" w:rsidRPr="00ED510A" w:rsidRDefault="00000000" w:rsidP="00ED510A">
      <w:pPr>
        <w:spacing w:after="0" w:line="240" w:lineRule="auto"/>
        <w:ind w:firstLine="0"/>
        <w:rPr>
          <w:sz w:val="18"/>
          <w:szCs w:val="18"/>
        </w:rPr>
      </w:pPr>
      <w:r w:rsidRPr="00ED510A">
        <w:rPr>
          <w:sz w:val="18"/>
          <w:szCs w:val="18"/>
          <w:vertAlign w:val="superscript"/>
        </w:rPr>
        <w:footnoteRef/>
      </w:r>
      <w:r w:rsidRPr="00ED510A">
        <w:rPr>
          <w:sz w:val="18"/>
          <w:szCs w:val="18"/>
        </w:rPr>
        <w:t xml:space="preserve"> Dubourg</w:t>
      </w:r>
      <w:r w:rsidR="00B3138E">
        <w:rPr>
          <w:sz w:val="18"/>
          <w:szCs w:val="18"/>
        </w:rPr>
        <w:t xml:space="preserve"> Ninon</w:t>
      </w:r>
      <w:r w:rsidRPr="00ED510A">
        <w:rPr>
          <w:sz w:val="18"/>
          <w:szCs w:val="18"/>
        </w:rPr>
        <w:t xml:space="preserve">, “handicap”, </w:t>
      </w:r>
      <w:proofErr w:type="spellStart"/>
      <w:r w:rsidRPr="00ED510A">
        <w:rPr>
          <w:sz w:val="18"/>
          <w:szCs w:val="18"/>
        </w:rPr>
        <w:t>Menestrel</w:t>
      </w:r>
      <w:proofErr w:type="spellEnd"/>
      <w:r w:rsidRPr="00ED510A">
        <w:rPr>
          <w:sz w:val="18"/>
          <w:szCs w:val="18"/>
        </w:rPr>
        <w:t xml:space="preserve"> (</w:t>
      </w:r>
      <w:hyperlink r:id="rId1">
        <w:r w:rsidRPr="00ED510A">
          <w:rPr>
            <w:color w:val="1155CC"/>
            <w:sz w:val="18"/>
            <w:szCs w:val="18"/>
            <w:u w:val="single"/>
          </w:rPr>
          <w:t>online</w:t>
        </w:r>
      </w:hyperlink>
      <w:r w:rsidRPr="00ED510A">
        <w:rPr>
          <w:sz w:val="18"/>
          <w:szCs w:val="18"/>
        </w:rPr>
        <w:t>), May 2020</w:t>
      </w:r>
      <w:r w:rsidR="00975818">
        <w:rPr>
          <w:sz w:val="18"/>
          <w:szCs w:val="18"/>
        </w:rPr>
        <w:t xml:space="preserve"> </w:t>
      </w:r>
      <w:r w:rsidRPr="00ED510A">
        <w:rPr>
          <w:sz w:val="18"/>
          <w:szCs w:val="18"/>
        </w:rPr>
        <w:t xml:space="preserve">; </w:t>
      </w:r>
      <w:r w:rsidR="00B3138E">
        <w:rPr>
          <w:sz w:val="18"/>
          <w:szCs w:val="18"/>
        </w:rPr>
        <w:t xml:space="preserve">Turner </w:t>
      </w:r>
      <w:r w:rsidRPr="00ED510A">
        <w:rPr>
          <w:sz w:val="18"/>
          <w:szCs w:val="18"/>
        </w:rPr>
        <w:t xml:space="preserve">Wendy J., </w:t>
      </w:r>
      <w:r w:rsidR="00975818" w:rsidRPr="00975818">
        <w:rPr>
          <w:sz w:val="18"/>
          <w:szCs w:val="18"/>
        </w:rPr>
        <w:t>«</w:t>
      </w:r>
      <w:r w:rsidR="00975818">
        <w:rPr>
          <w:sz w:val="18"/>
          <w:szCs w:val="18"/>
        </w:rPr>
        <w:t xml:space="preserve"> </w:t>
      </w:r>
      <w:r w:rsidRPr="00ED510A">
        <w:rPr>
          <w:sz w:val="18"/>
          <w:szCs w:val="18"/>
        </w:rPr>
        <w:t>Models of Disability : Connecting the Past to the Present</w:t>
      </w:r>
      <w:r w:rsidR="00975818">
        <w:rPr>
          <w:sz w:val="18"/>
          <w:szCs w:val="18"/>
        </w:rPr>
        <w:t xml:space="preserve"> </w:t>
      </w:r>
      <w:r w:rsidR="00975818" w:rsidRPr="00975818">
        <w:rPr>
          <w:sz w:val="18"/>
          <w:szCs w:val="18"/>
        </w:rPr>
        <w:t>»</w:t>
      </w:r>
      <w:r w:rsidRPr="00ED510A">
        <w:rPr>
          <w:sz w:val="18"/>
          <w:szCs w:val="18"/>
        </w:rPr>
        <w:t xml:space="preserve">, </w:t>
      </w:r>
      <w:proofErr w:type="spellStart"/>
      <w:r w:rsidRPr="00ED510A">
        <w:rPr>
          <w:i/>
          <w:sz w:val="18"/>
          <w:szCs w:val="18"/>
        </w:rPr>
        <w:t>Zeitschri</w:t>
      </w:r>
      <w:r w:rsidR="00B3138E">
        <w:rPr>
          <w:i/>
          <w:sz w:val="18"/>
          <w:szCs w:val="18"/>
        </w:rPr>
        <w:t>ft</w:t>
      </w:r>
      <w:proofErr w:type="spellEnd"/>
      <w:r w:rsidRPr="00ED510A">
        <w:rPr>
          <w:i/>
          <w:sz w:val="18"/>
          <w:szCs w:val="18"/>
        </w:rPr>
        <w:t xml:space="preserve"> für Disability</w:t>
      </w:r>
      <w:r w:rsidR="00B3138E">
        <w:rPr>
          <w:i/>
          <w:sz w:val="18"/>
          <w:szCs w:val="18"/>
        </w:rPr>
        <w:t xml:space="preserve"> </w:t>
      </w:r>
      <w:r w:rsidRPr="00ED510A">
        <w:rPr>
          <w:i/>
          <w:sz w:val="18"/>
          <w:szCs w:val="18"/>
        </w:rPr>
        <w:t>Studies</w:t>
      </w:r>
      <w:r w:rsidRPr="00ED510A">
        <w:rPr>
          <w:sz w:val="18"/>
          <w:szCs w:val="18"/>
        </w:rPr>
        <w:t xml:space="preserve">, </w:t>
      </w:r>
      <w:r w:rsidR="00B3138E">
        <w:rPr>
          <w:sz w:val="18"/>
          <w:szCs w:val="18"/>
        </w:rPr>
        <w:t>1 (</w:t>
      </w:r>
      <w:r w:rsidRPr="00ED510A">
        <w:rPr>
          <w:sz w:val="18"/>
          <w:szCs w:val="18"/>
        </w:rPr>
        <w:t>2022</w:t>
      </w:r>
      <w:r w:rsidR="00B3138E">
        <w:rPr>
          <w:sz w:val="18"/>
          <w:szCs w:val="18"/>
        </w:rPr>
        <w:t>)</w:t>
      </w:r>
      <w:r w:rsidRPr="00ED510A">
        <w:rPr>
          <w:sz w:val="18"/>
          <w:szCs w:val="18"/>
        </w:rPr>
        <w:t>, p</w:t>
      </w:r>
      <w:r w:rsidR="00B3138E">
        <w:rPr>
          <w:sz w:val="18"/>
          <w:szCs w:val="18"/>
        </w:rPr>
        <w:t>p</w:t>
      </w:r>
      <w:r w:rsidRPr="00ED510A">
        <w:rPr>
          <w:sz w:val="18"/>
          <w:szCs w:val="18"/>
        </w:rPr>
        <w:t>. 1-18 (</w:t>
      </w:r>
      <w:hyperlink r:id="rId2">
        <w:r w:rsidRPr="00ED510A">
          <w:rPr>
            <w:color w:val="1155CC"/>
            <w:sz w:val="18"/>
            <w:szCs w:val="18"/>
            <w:u w:val="single"/>
          </w:rPr>
          <w:t>online</w:t>
        </w:r>
      </w:hyperlink>
      <w:r w:rsidRPr="00ED510A">
        <w:rPr>
          <w:sz w:val="18"/>
          <w:szCs w:val="18"/>
        </w:rPr>
        <w:t>).</w:t>
      </w:r>
    </w:p>
  </w:footnote>
  <w:footnote w:id="3">
    <w:p w14:paraId="0000004C" w14:textId="41C27480" w:rsidR="00B31570" w:rsidRPr="00ED510A" w:rsidRDefault="00000000" w:rsidP="00ED510A">
      <w:pPr>
        <w:spacing w:after="0" w:line="240" w:lineRule="auto"/>
        <w:ind w:firstLine="0"/>
        <w:rPr>
          <w:sz w:val="18"/>
          <w:szCs w:val="18"/>
        </w:rPr>
      </w:pPr>
      <w:r w:rsidRPr="00ED510A">
        <w:rPr>
          <w:sz w:val="18"/>
          <w:szCs w:val="18"/>
          <w:vertAlign w:val="superscript"/>
        </w:rPr>
        <w:footnoteRef/>
      </w:r>
      <w:r w:rsidRPr="00ED510A">
        <w:rPr>
          <w:sz w:val="18"/>
          <w:szCs w:val="18"/>
        </w:rPr>
        <w:t xml:space="preserve"> </w:t>
      </w:r>
      <w:r w:rsidR="00B3138E">
        <w:rPr>
          <w:sz w:val="18"/>
          <w:szCs w:val="18"/>
        </w:rPr>
        <w:t xml:space="preserve">Nolte </w:t>
      </w:r>
      <w:proofErr w:type="spellStart"/>
      <w:r w:rsidRPr="00ED510A">
        <w:rPr>
          <w:sz w:val="18"/>
          <w:szCs w:val="18"/>
        </w:rPr>
        <w:t>Cordula</w:t>
      </w:r>
      <w:proofErr w:type="spellEnd"/>
      <w:r w:rsidRPr="00ED510A">
        <w:rPr>
          <w:sz w:val="18"/>
          <w:szCs w:val="18"/>
        </w:rPr>
        <w:t xml:space="preserve"> (ed.), </w:t>
      </w:r>
      <w:r w:rsidRPr="00ED510A">
        <w:rPr>
          <w:i/>
          <w:sz w:val="18"/>
          <w:szCs w:val="18"/>
        </w:rPr>
        <w:t xml:space="preserve">Homo debilis: </w:t>
      </w:r>
      <w:proofErr w:type="spellStart"/>
      <w:r w:rsidRPr="00ED510A">
        <w:rPr>
          <w:i/>
          <w:sz w:val="18"/>
          <w:szCs w:val="18"/>
        </w:rPr>
        <w:t>Behinderte</w:t>
      </w:r>
      <w:proofErr w:type="spellEnd"/>
      <w:r w:rsidRPr="00ED510A">
        <w:rPr>
          <w:i/>
          <w:sz w:val="18"/>
          <w:szCs w:val="18"/>
        </w:rPr>
        <w:t xml:space="preserve">, </w:t>
      </w:r>
      <w:proofErr w:type="spellStart"/>
      <w:r w:rsidRPr="00ED510A">
        <w:rPr>
          <w:i/>
          <w:sz w:val="18"/>
          <w:szCs w:val="18"/>
        </w:rPr>
        <w:t>Kranke</w:t>
      </w:r>
      <w:proofErr w:type="spellEnd"/>
      <w:r w:rsidRPr="00ED510A">
        <w:rPr>
          <w:i/>
          <w:sz w:val="18"/>
          <w:szCs w:val="18"/>
        </w:rPr>
        <w:t xml:space="preserve">, </w:t>
      </w:r>
      <w:proofErr w:type="spellStart"/>
      <w:r w:rsidRPr="00ED510A">
        <w:rPr>
          <w:i/>
          <w:sz w:val="18"/>
          <w:szCs w:val="18"/>
        </w:rPr>
        <w:t>Versehrte</w:t>
      </w:r>
      <w:proofErr w:type="spellEnd"/>
      <w:r w:rsidRPr="00ED510A">
        <w:rPr>
          <w:i/>
          <w:sz w:val="18"/>
          <w:szCs w:val="18"/>
        </w:rPr>
        <w:t xml:space="preserve"> in der Gesellschaft des </w:t>
      </w:r>
      <w:proofErr w:type="spellStart"/>
      <w:r w:rsidRPr="00ED510A">
        <w:rPr>
          <w:i/>
          <w:sz w:val="18"/>
          <w:szCs w:val="18"/>
        </w:rPr>
        <w:t>Mittelalters</w:t>
      </w:r>
      <w:proofErr w:type="spellEnd"/>
      <w:r w:rsidRPr="00ED510A">
        <w:rPr>
          <w:sz w:val="18"/>
          <w:szCs w:val="18"/>
        </w:rPr>
        <w:t xml:space="preserve">, </w:t>
      </w:r>
      <w:proofErr w:type="spellStart"/>
      <w:r w:rsidR="00B3138E">
        <w:rPr>
          <w:sz w:val="18"/>
          <w:szCs w:val="18"/>
        </w:rPr>
        <w:t>Korb</w:t>
      </w:r>
      <w:proofErr w:type="spellEnd"/>
      <w:r w:rsidRPr="00ED510A">
        <w:rPr>
          <w:sz w:val="18"/>
          <w:szCs w:val="18"/>
        </w:rPr>
        <w:t>, 2009.</w:t>
      </w:r>
    </w:p>
  </w:footnote>
  <w:footnote w:id="4">
    <w:p w14:paraId="0000004D" w14:textId="6B42A77E" w:rsidR="00B31570" w:rsidRPr="00ED510A" w:rsidRDefault="00000000" w:rsidP="00ED510A">
      <w:pPr>
        <w:spacing w:after="0" w:line="240" w:lineRule="auto"/>
        <w:ind w:firstLine="0"/>
        <w:rPr>
          <w:sz w:val="18"/>
          <w:szCs w:val="18"/>
        </w:rPr>
      </w:pPr>
      <w:r w:rsidRPr="00ED510A">
        <w:rPr>
          <w:sz w:val="18"/>
          <w:szCs w:val="18"/>
          <w:vertAlign w:val="superscript"/>
        </w:rPr>
        <w:footnoteRef/>
      </w:r>
      <w:r w:rsidRPr="00ED510A">
        <w:rPr>
          <w:sz w:val="18"/>
          <w:szCs w:val="18"/>
        </w:rPr>
        <w:t xml:space="preserve"> </w:t>
      </w:r>
      <w:r w:rsidR="00B3138E">
        <w:rPr>
          <w:sz w:val="18"/>
          <w:szCs w:val="18"/>
        </w:rPr>
        <w:t xml:space="preserve">Nolte </w:t>
      </w:r>
      <w:proofErr w:type="spellStart"/>
      <w:r w:rsidRPr="00ED510A">
        <w:rPr>
          <w:sz w:val="18"/>
          <w:szCs w:val="18"/>
        </w:rPr>
        <w:t>Cordula</w:t>
      </w:r>
      <w:proofErr w:type="spellEnd"/>
      <w:r w:rsidRPr="00ED510A">
        <w:rPr>
          <w:sz w:val="18"/>
          <w:szCs w:val="18"/>
        </w:rPr>
        <w:t xml:space="preserve">, </w:t>
      </w:r>
      <w:proofErr w:type="spellStart"/>
      <w:r w:rsidR="00B3138E">
        <w:rPr>
          <w:sz w:val="18"/>
          <w:szCs w:val="18"/>
        </w:rPr>
        <w:t>Frohne</w:t>
      </w:r>
      <w:proofErr w:type="spellEnd"/>
      <w:r w:rsidR="00B3138E">
        <w:rPr>
          <w:sz w:val="18"/>
          <w:szCs w:val="18"/>
        </w:rPr>
        <w:t xml:space="preserve"> </w:t>
      </w:r>
      <w:r w:rsidRPr="00ED510A">
        <w:rPr>
          <w:sz w:val="18"/>
          <w:szCs w:val="18"/>
        </w:rPr>
        <w:t xml:space="preserve">Bianca, </w:t>
      </w:r>
      <w:r w:rsidR="00B3138E">
        <w:rPr>
          <w:sz w:val="18"/>
          <w:szCs w:val="18"/>
        </w:rPr>
        <w:t xml:space="preserve">Halle </w:t>
      </w:r>
      <w:r w:rsidRPr="00ED510A">
        <w:rPr>
          <w:sz w:val="18"/>
          <w:szCs w:val="18"/>
        </w:rPr>
        <w:t xml:space="preserve">Uta and </w:t>
      </w:r>
      <w:proofErr w:type="spellStart"/>
      <w:r w:rsidR="00B3138E">
        <w:rPr>
          <w:sz w:val="18"/>
          <w:szCs w:val="18"/>
        </w:rPr>
        <w:t>Kerth</w:t>
      </w:r>
      <w:proofErr w:type="spellEnd"/>
      <w:r w:rsidR="00B3138E">
        <w:rPr>
          <w:sz w:val="18"/>
          <w:szCs w:val="18"/>
        </w:rPr>
        <w:t xml:space="preserve"> </w:t>
      </w:r>
      <w:r w:rsidRPr="00ED510A">
        <w:rPr>
          <w:sz w:val="18"/>
          <w:szCs w:val="18"/>
        </w:rPr>
        <w:t xml:space="preserve">Sonja (eds.), </w:t>
      </w:r>
      <w:r w:rsidRPr="00ED510A">
        <w:rPr>
          <w:i/>
          <w:sz w:val="18"/>
          <w:szCs w:val="18"/>
        </w:rPr>
        <w:t xml:space="preserve">Dis/ability History der </w:t>
      </w:r>
      <w:proofErr w:type="spellStart"/>
      <w:r w:rsidRPr="00ED510A">
        <w:rPr>
          <w:i/>
          <w:sz w:val="18"/>
          <w:szCs w:val="18"/>
        </w:rPr>
        <w:t>Vormoderne</w:t>
      </w:r>
      <w:proofErr w:type="spellEnd"/>
      <w:r w:rsidRPr="00ED510A">
        <w:rPr>
          <w:i/>
          <w:sz w:val="18"/>
          <w:szCs w:val="18"/>
        </w:rPr>
        <w:t xml:space="preserve">. Ein </w:t>
      </w:r>
      <w:proofErr w:type="spellStart"/>
      <w:r w:rsidRPr="00ED510A">
        <w:rPr>
          <w:i/>
          <w:sz w:val="18"/>
          <w:szCs w:val="18"/>
        </w:rPr>
        <w:t>Handbuch</w:t>
      </w:r>
      <w:proofErr w:type="spellEnd"/>
      <w:r w:rsidRPr="00ED510A">
        <w:rPr>
          <w:i/>
          <w:sz w:val="18"/>
          <w:szCs w:val="18"/>
        </w:rPr>
        <w:t xml:space="preserve"> – Premodern Dis/ability History. A Companion</w:t>
      </w:r>
      <w:r w:rsidRPr="00ED510A">
        <w:rPr>
          <w:sz w:val="18"/>
          <w:szCs w:val="18"/>
        </w:rPr>
        <w:t xml:space="preserve">, </w:t>
      </w:r>
      <w:proofErr w:type="spellStart"/>
      <w:r w:rsidR="00B3138E">
        <w:rPr>
          <w:sz w:val="18"/>
          <w:szCs w:val="18"/>
        </w:rPr>
        <w:t>Affalterbach</w:t>
      </w:r>
      <w:proofErr w:type="spellEnd"/>
      <w:r w:rsidRPr="00ED510A">
        <w:rPr>
          <w:sz w:val="18"/>
          <w:szCs w:val="18"/>
        </w:rPr>
        <w:t>, 2017, p</w:t>
      </w:r>
      <w:r w:rsidR="00B3138E">
        <w:rPr>
          <w:sz w:val="18"/>
          <w:szCs w:val="18"/>
        </w:rPr>
        <w:t>p</w:t>
      </w:r>
      <w:r w:rsidRPr="00ED510A">
        <w:rPr>
          <w:sz w:val="18"/>
          <w:szCs w:val="18"/>
        </w:rPr>
        <w:t>. 272-273.</w:t>
      </w:r>
    </w:p>
  </w:footnote>
  <w:footnote w:id="5">
    <w:p w14:paraId="0000004E" w14:textId="61A14A98" w:rsidR="00B31570" w:rsidRPr="00ED510A" w:rsidRDefault="00000000" w:rsidP="00ED510A">
      <w:pPr>
        <w:spacing w:after="0" w:line="240" w:lineRule="auto"/>
        <w:ind w:firstLine="0"/>
        <w:rPr>
          <w:sz w:val="18"/>
          <w:szCs w:val="18"/>
        </w:rPr>
      </w:pPr>
      <w:r w:rsidRPr="00ED510A">
        <w:rPr>
          <w:sz w:val="18"/>
          <w:szCs w:val="18"/>
          <w:vertAlign w:val="superscript"/>
        </w:rPr>
        <w:footnoteRef/>
      </w:r>
      <w:r w:rsidRPr="00ED510A">
        <w:rPr>
          <w:sz w:val="18"/>
          <w:szCs w:val="18"/>
        </w:rPr>
        <w:t xml:space="preserve"> </w:t>
      </w:r>
      <w:proofErr w:type="spellStart"/>
      <w:r w:rsidR="00B3138E">
        <w:rPr>
          <w:sz w:val="18"/>
          <w:szCs w:val="18"/>
        </w:rPr>
        <w:t>Hsy</w:t>
      </w:r>
      <w:proofErr w:type="spellEnd"/>
      <w:r w:rsidR="00B3138E">
        <w:rPr>
          <w:sz w:val="18"/>
          <w:szCs w:val="18"/>
        </w:rPr>
        <w:t xml:space="preserve"> </w:t>
      </w:r>
      <w:r w:rsidRPr="00ED510A">
        <w:rPr>
          <w:sz w:val="18"/>
          <w:szCs w:val="18"/>
        </w:rPr>
        <w:t xml:space="preserve">Jonathan, </w:t>
      </w:r>
      <w:r w:rsidR="00B3138E">
        <w:rPr>
          <w:sz w:val="18"/>
          <w:szCs w:val="18"/>
        </w:rPr>
        <w:t xml:space="preserve">Pearman </w:t>
      </w:r>
      <w:r w:rsidRPr="00ED510A">
        <w:rPr>
          <w:sz w:val="18"/>
          <w:szCs w:val="18"/>
        </w:rPr>
        <w:t xml:space="preserve">Tory V., </w:t>
      </w:r>
      <w:r w:rsidR="00B3138E">
        <w:rPr>
          <w:sz w:val="18"/>
          <w:szCs w:val="18"/>
        </w:rPr>
        <w:t xml:space="preserve">Eyler </w:t>
      </w:r>
      <w:r w:rsidRPr="00ED510A">
        <w:rPr>
          <w:sz w:val="18"/>
          <w:szCs w:val="18"/>
        </w:rPr>
        <w:t xml:space="preserve">Joshua R. (eds.), </w:t>
      </w:r>
      <w:r w:rsidRPr="00ED510A">
        <w:rPr>
          <w:i/>
          <w:sz w:val="18"/>
          <w:szCs w:val="18"/>
        </w:rPr>
        <w:t>A Cultural History of Disability in the Middle Ages</w:t>
      </w:r>
      <w:r w:rsidRPr="00ED510A">
        <w:rPr>
          <w:sz w:val="18"/>
          <w:szCs w:val="18"/>
        </w:rPr>
        <w:t>, Bloomsbury, 2020.</w:t>
      </w:r>
    </w:p>
  </w:footnote>
  <w:footnote w:id="6">
    <w:p w14:paraId="0000003E" w14:textId="62F1169F" w:rsidR="00B31570" w:rsidRPr="00ED510A" w:rsidRDefault="00000000" w:rsidP="00ED510A">
      <w:pPr>
        <w:spacing w:after="0" w:line="240" w:lineRule="auto"/>
        <w:ind w:firstLine="0"/>
        <w:rPr>
          <w:sz w:val="18"/>
          <w:szCs w:val="18"/>
        </w:rPr>
      </w:pPr>
      <w:r w:rsidRPr="00ED510A">
        <w:rPr>
          <w:sz w:val="18"/>
          <w:szCs w:val="18"/>
          <w:vertAlign w:val="superscript"/>
        </w:rPr>
        <w:footnoteRef/>
      </w:r>
      <w:r w:rsidRPr="00ED510A">
        <w:rPr>
          <w:sz w:val="18"/>
          <w:szCs w:val="18"/>
        </w:rPr>
        <w:t xml:space="preserve"> Metzler Irina, </w:t>
      </w:r>
      <w:r w:rsidRPr="00ED510A">
        <w:rPr>
          <w:i/>
          <w:sz w:val="18"/>
          <w:szCs w:val="18"/>
        </w:rPr>
        <w:t>Disability in medieval Europe: thinking about physical impairment during the High Middle Ages, c. 1100-1400</w:t>
      </w:r>
      <w:r w:rsidRPr="00ED510A">
        <w:rPr>
          <w:sz w:val="18"/>
          <w:szCs w:val="18"/>
        </w:rPr>
        <w:t>, New York, 2006</w:t>
      </w:r>
      <w:r w:rsidR="00AC7ED2">
        <w:rPr>
          <w:sz w:val="18"/>
          <w:szCs w:val="18"/>
        </w:rPr>
        <w:t>;</w:t>
      </w:r>
      <w:r w:rsidRPr="00ED510A">
        <w:rPr>
          <w:sz w:val="18"/>
          <w:szCs w:val="18"/>
        </w:rPr>
        <w:t xml:space="preserve"> </w:t>
      </w:r>
      <w:proofErr w:type="spellStart"/>
      <w:r w:rsidRPr="00ED510A">
        <w:rPr>
          <w:sz w:val="18"/>
          <w:szCs w:val="18"/>
        </w:rPr>
        <w:t>Kuuliala</w:t>
      </w:r>
      <w:proofErr w:type="spellEnd"/>
      <w:r w:rsidRPr="00ED510A">
        <w:rPr>
          <w:sz w:val="18"/>
          <w:szCs w:val="18"/>
        </w:rPr>
        <w:t xml:space="preserve"> Jenni, </w:t>
      </w:r>
      <w:r w:rsidRPr="00ED510A">
        <w:rPr>
          <w:i/>
          <w:sz w:val="18"/>
          <w:szCs w:val="18"/>
        </w:rPr>
        <w:t>Childhood disability and social integration in the Middle Ages: constructions of impairments in thirteenth- and fourteenth-century canonization processes</w:t>
      </w:r>
      <w:r w:rsidRPr="00ED510A">
        <w:rPr>
          <w:sz w:val="18"/>
          <w:szCs w:val="18"/>
        </w:rPr>
        <w:t>, Turnhout, 2016.</w:t>
      </w:r>
    </w:p>
  </w:footnote>
  <w:footnote w:id="7">
    <w:p w14:paraId="0000003F" w14:textId="0253661A" w:rsidR="00B31570" w:rsidRPr="00ED510A" w:rsidRDefault="00000000" w:rsidP="00ED510A">
      <w:pPr>
        <w:spacing w:after="0" w:line="240" w:lineRule="auto"/>
        <w:ind w:firstLine="0"/>
        <w:rPr>
          <w:sz w:val="18"/>
          <w:szCs w:val="18"/>
        </w:rPr>
      </w:pPr>
      <w:r w:rsidRPr="00ED510A">
        <w:rPr>
          <w:sz w:val="18"/>
          <w:szCs w:val="18"/>
          <w:vertAlign w:val="superscript"/>
        </w:rPr>
        <w:footnoteRef/>
      </w:r>
      <w:r w:rsidRPr="00ED510A">
        <w:rPr>
          <w:sz w:val="18"/>
          <w:szCs w:val="18"/>
        </w:rPr>
        <w:t xml:space="preserve"> B</w:t>
      </w:r>
      <w:r w:rsidR="00862DC3">
        <w:rPr>
          <w:sz w:val="18"/>
          <w:szCs w:val="18"/>
        </w:rPr>
        <w:t xml:space="preserve">runet de Courrèges </w:t>
      </w:r>
      <w:r w:rsidRPr="00ED510A">
        <w:rPr>
          <w:sz w:val="18"/>
          <w:szCs w:val="18"/>
        </w:rPr>
        <w:t xml:space="preserve">Hélène, « Les </w:t>
      </w:r>
      <w:proofErr w:type="spellStart"/>
      <w:r w:rsidRPr="00ED510A">
        <w:rPr>
          <w:sz w:val="18"/>
          <w:szCs w:val="18"/>
        </w:rPr>
        <w:t>irrégularités</w:t>
      </w:r>
      <w:proofErr w:type="spellEnd"/>
      <w:r w:rsidRPr="00ED510A">
        <w:rPr>
          <w:sz w:val="18"/>
          <w:szCs w:val="18"/>
        </w:rPr>
        <w:t xml:space="preserve"> </w:t>
      </w:r>
      <w:r w:rsidRPr="00ED510A">
        <w:rPr>
          <w:i/>
          <w:sz w:val="18"/>
          <w:szCs w:val="18"/>
        </w:rPr>
        <w:t xml:space="preserve">pro </w:t>
      </w:r>
      <w:proofErr w:type="spellStart"/>
      <w:r w:rsidRPr="00ED510A">
        <w:rPr>
          <w:i/>
          <w:sz w:val="18"/>
          <w:szCs w:val="18"/>
        </w:rPr>
        <w:t>defectus</w:t>
      </w:r>
      <w:proofErr w:type="spellEnd"/>
      <w:r w:rsidRPr="00ED510A">
        <w:rPr>
          <w:sz w:val="18"/>
          <w:szCs w:val="18"/>
        </w:rPr>
        <w:t xml:space="preserve"> et la </w:t>
      </w:r>
      <w:proofErr w:type="spellStart"/>
      <w:r w:rsidRPr="00ED510A">
        <w:rPr>
          <w:sz w:val="18"/>
          <w:szCs w:val="18"/>
        </w:rPr>
        <w:t>réception</w:t>
      </w:r>
      <w:proofErr w:type="spellEnd"/>
      <w:r w:rsidRPr="00ED510A">
        <w:rPr>
          <w:sz w:val="18"/>
          <w:szCs w:val="18"/>
        </w:rPr>
        <w:t xml:space="preserve"> des </w:t>
      </w:r>
      <w:proofErr w:type="spellStart"/>
      <w:r w:rsidRPr="00ED510A">
        <w:rPr>
          <w:sz w:val="18"/>
          <w:szCs w:val="18"/>
        </w:rPr>
        <w:t>ordres</w:t>
      </w:r>
      <w:proofErr w:type="spellEnd"/>
      <w:r w:rsidRPr="00ED510A">
        <w:rPr>
          <w:sz w:val="18"/>
          <w:szCs w:val="18"/>
        </w:rPr>
        <w:t xml:space="preserve"> </w:t>
      </w:r>
      <w:proofErr w:type="spellStart"/>
      <w:r w:rsidRPr="00ED510A">
        <w:rPr>
          <w:sz w:val="18"/>
          <w:szCs w:val="18"/>
        </w:rPr>
        <w:t>sacrés</w:t>
      </w:r>
      <w:proofErr w:type="spellEnd"/>
      <w:r w:rsidRPr="00ED510A">
        <w:rPr>
          <w:sz w:val="18"/>
          <w:szCs w:val="18"/>
        </w:rPr>
        <w:t xml:space="preserve">, quelle tradition? », </w:t>
      </w:r>
      <w:r w:rsidRPr="00ED510A">
        <w:rPr>
          <w:i/>
          <w:sz w:val="18"/>
          <w:szCs w:val="18"/>
        </w:rPr>
        <w:t xml:space="preserve">Revue de droit </w:t>
      </w:r>
      <w:proofErr w:type="spellStart"/>
      <w:r w:rsidRPr="00ED510A">
        <w:rPr>
          <w:i/>
          <w:sz w:val="18"/>
          <w:szCs w:val="18"/>
        </w:rPr>
        <w:t>canonique</w:t>
      </w:r>
      <w:proofErr w:type="spellEnd"/>
      <w:r w:rsidRPr="00ED510A">
        <w:rPr>
          <w:sz w:val="18"/>
          <w:szCs w:val="18"/>
        </w:rPr>
        <w:t>, 62/1, 2012, p</w:t>
      </w:r>
      <w:r w:rsidR="00B3138E">
        <w:rPr>
          <w:sz w:val="18"/>
          <w:szCs w:val="18"/>
        </w:rPr>
        <w:t>p</w:t>
      </w:r>
      <w:r w:rsidRPr="00ED510A">
        <w:rPr>
          <w:sz w:val="18"/>
          <w:szCs w:val="18"/>
        </w:rPr>
        <w:t>. 95-110</w:t>
      </w:r>
      <w:r w:rsidR="00AC7ED2">
        <w:rPr>
          <w:sz w:val="18"/>
          <w:szCs w:val="18"/>
        </w:rPr>
        <w:t>;</w:t>
      </w:r>
      <w:r w:rsidRPr="00ED510A">
        <w:rPr>
          <w:sz w:val="18"/>
          <w:szCs w:val="18"/>
        </w:rPr>
        <w:t xml:space="preserve"> </w:t>
      </w:r>
      <w:proofErr w:type="spellStart"/>
      <w:r w:rsidRPr="00ED510A">
        <w:rPr>
          <w:sz w:val="18"/>
          <w:szCs w:val="18"/>
        </w:rPr>
        <w:t>F</w:t>
      </w:r>
      <w:r w:rsidR="00862DC3">
        <w:rPr>
          <w:sz w:val="18"/>
          <w:szCs w:val="18"/>
        </w:rPr>
        <w:t>ossier</w:t>
      </w:r>
      <w:proofErr w:type="spellEnd"/>
      <w:r w:rsidRPr="00ED510A">
        <w:rPr>
          <w:sz w:val="18"/>
          <w:szCs w:val="18"/>
        </w:rPr>
        <w:t xml:space="preserve"> Arnaud, </w:t>
      </w:r>
      <w:r w:rsidRPr="00ED510A">
        <w:rPr>
          <w:i/>
          <w:sz w:val="18"/>
          <w:szCs w:val="18"/>
        </w:rPr>
        <w:t xml:space="preserve">Le bureau des âmes. </w:t>
      </w:r>
      <w:proofErr w:type="spellStart"/>
      <w:r w:rsidRPr="00ED510A">
        <w:rPr>
          <w:i/>
          <w:sz w:val="18"/>
          <w:szCs w:val="18"/>
        </w:rPr>
        <w:t>Écritures</w:t>
      </w:r>
      <w:proofErr w:type="spellEnd"/>
      <w:r w:rsidRPr="00ED510A">
        <w:rPr>
          <w:i/>
          <w:sz w:val="18"/>
          <w:szCs w:val="18"/>
        </w:rPr>
        <w:t xml:space="preserve"> et pratiques </w:t>
      </w:r>
      <w:proofErr w:type="spellStart"/>
      <w:r w:rsidRPr="00ED510A">
        <w:rPr>
          <w:i/>
          <w:sz w:val="18"/>
          <w:szCs w:val="18"/>
        </w:rPr>
        <w:t>administratives</w:t>
      </w:r>
      <w:proofErr w:type="spellEnd"/>
      <w:r w:rsidRPr="00ED510A">
        <w:rPr>
          <w:i/>
          <w:sz w:val="18"/>
          <w:szCs w:val="18"/>
        </w:rPr>
        <w:t xml:space="preserve"> de la </w:t>
      </w:r>
      <w:proofErr w:type="spellStart"/>
      <w:r w:rsidRPr="00ED510A">
        <w:rPr>
          <w:i/>
          <w:sz w:val="18"/>
          <w:szCs w:val="18"/>
        </w:rPr>
        <w:t>Pénitencerie</w:t>
      </w:r>
      <w:proofErr w:type="spellEnd"/>
      <w:r w:rsidRPr="00ED510A">
        <w:rPr>
          <w:i/>
          <w:sz w:val="18"/>
          <w:szCs w:val="18"/>
        </w:rPr>
        <w:t xml:space="preserve"> </w:t>
      </w:r>
      <w:proofErr w:type="spellStart"/>
      <w:r w:rsidRPr="00ED510A">
        <w:rPr>
          <w:i/>
          <w:sz w:val="18"/>
          <w:szCs w:val="18"/>
        </w:rPr>
        <w:t>apostolique</w:t>
      </w:r>
      <w:proofErr w:type="spellEnd"/>
      <w:r w:rsidRPr="00ED510A">
        <w:rPr>
          <w:i/>
          <w:sz w:val="18"/>
          <w:szCs w:val="18"/>
        </w:rPr>
        <w:t xml:space="preserve"> (</w:t>
      </w:r>
      <w:proofErr w:type="spellStart"/>
      <w:r w:rsidRPr="00ED510A">
        <w:rPr>
          <w:i/>
          <w:sz w:val="18"/>
          <w:szCs w:val="18"/>
        </w:rPr>
        <w:t>XIIIe-XIVe</w:t>
      </w:r>
      <w:proofErr w:type="spellEnd"/>
      <w:r w:rsidRPr="00ED510A">
        <w:rPr>
          <w:i/>
          <w:sz w:val="18"/>
          <w:szCs w:val="18"/>
        </w:rPr>
        <w:t xml:space="preserve"> siècle)</w:t>
      </w:r>
      <w:r w:rsidRPr="00ED510A">
        <w:rPr>
          <w:sz w:val="18"/>
          <w:szCs w:val="18"/>
        </w:rPr>
        <w:t>, Rome, 2018.</w:t>
      </w:r>
    </w:p>
  </w:footnote>
  <w:footnote w:id="8">
    <w:p w14:paraId="00000040" w14:textId="3E3C747B" w:rsidR="00B31570" w:rsidRPr="00ED510A" w:rsidRDefault="00000000" w:rsidP="00ED510A">
      <w:pPr>
        <w:spacing w:after="0" w:line="240" w:lineRule="auto"/>
        <w:ind w:firstLine="0"/>
        <w:rPr>
          <w:sz w:val="18"/>
          <w:szCs w:val="18"/>
        </w:rPr>
      </w:pPr>
      <w:r w:rsidRPr="00ED510A">
        <w:rPr>
          <w:sz w:val="18"/>
          <w:szCs w:val="18"/>
          <w:vertAlign w:val="superscript"/>
        </w:rPr>
        <w:footnoteRef/>
      </w:r>
      <w:r w:rsidRPr="00ED510A">
        <w:rPr>
          <w:sz w:val="18"/>
          <w:szCs w:val="18"/>
        </w:rPr>
        <w:t xml:space="preserve"> </w:t>
      </w:r>
      <w:proofErr w:type="spellStart"/>
      <w:r w:rsidRPr="00ED510A">
        <w:rPr>
          <w:sz w:val="18"/>
          <w:szCs w:val="18"/>
        </w:rPr>
        <w:t>D</w:t>
      </w:r>
      <w:r w:rsidR="00862DC3">
        <w:rPr>
          <w:sz w:val="18"/>
          <w:szCs w:val="18"/>
        </w:rPr>
        <w:t>ounot</w:t>
      </w:r>
      <w:proofErr w:type="spellEnd"/>
      <w:r w:rsidR="00862DC3">
        <w:rPr>
          <w:sz w:val="18"/>
          <w:szCs w:val="18"/>
        </w:rPr>
        <w:t xml:space="preserve"> </w:t>
      </w:r>
      <w:proofErr w:type="spellStart"/>
      <w:r w:rsidRPr="00ED510A">
        <w:rPr>
          <w:sz w:val="18"/>
          <w:szCs w:val="18"/>
        </w:rPr>
        <w:t>Cyrille</w:t>
      </w:r>
      <w:proofErr w:type="spellEnd"/>
      <w:r w:rsidRPr="00ED510A">
        <w:rPr>
          <w:sz w:val="18"/>
          <w:szCs w:val="18"/>
        </w:rPr>
        <w:t xml:space="preserve">, </w:t>
      </w:r>
      <w:bookmarkStart w:id="4" w:name="_Hlk125043756"/>
      <w:r w:rsidRPr="00ED510A">
        <w:rPr>
          <w:sz w:val="18"/>
          <w:szCs w:val="18"/>
        </w:rPr>
        <w:t>«</w:t>
      </w:r>
      <w:bookmarkEnd w:id="4"/>
      <w:r w:rsidRPr="00ED510A">
        <w:rPr>
          <w:sz w:val="18"/>
          <w:szCs w:val="18"/>
        </w:rPr>
        <w:t xml:space="preserve"> La main </w:t>
      </w:r>
      <w:proofErr w:type="spellStart"/>
      <w:r w:rsidRPr="00ED510A">
        <w:rPr>
          <w:sz w:val="18"/>
          <w:szCs w:val="18"/>
        </w:rPr>
        <w:t>en</w:t>
      </w:r>
      <w:proofErr w:type="spellEnd"/>
      <w:r w:rsidRPr="00ED510A">
        <w:rPr>
          <w:sz w:val="18"/>
          <w:szCs w:val="18"/>
        </w:rPr>
        <w:t xml:space="preserve"> droit </w:t>
      </w:r>
      <w:proofErr w:type="spellStart"/>
      <w:r w:rsidRPr="00ED510A">
        <w:rPr>
          <w:sz w:val="18"/>
          <w:szCs w:val="18"/>
        </w:rPr>
        <w:t>canonique</w:t>
      </w:r>
      <w:proofErr w:type="spellEnd"/>
      <w:r w:rsidRPr="00ED510A">
        <w:rPr>
          <w:sz w:val="18"/>
          <w:szCs w:val="18"/>
        </w:rPr>
        <w:t xml:space="preserve"> »,</w:t>
      </w:r>
      <w:r w:rsidRPr="00ED510A">
        <w:rPr>
          <w:i/>
          <w:sz w:val="18"/>
          <w:szCs w:val="18"/>
        </w:rPr>
        <w:t xml:space="preserve"> Les Cahiers du Littoral</w:t>
      </w:r>
      <w:r w:rsidRPr="00ED510A">
        <w:rPr>
          <w:sz w:val="18"/>
          <w:szCs w:val="18"/>
        </w:rPr>
        <w:t>, 19</w:t>
      </w:r>
      <w:r w:rsidR="00F908EB">
        <w:rPr>
          <w:sz w:val="18"/>
          <w:szCs w:val="18"/>
        </w:rPr>
        <w:t xml:space="preserve"> (</w:t>
      </w:r>
      <w:r w:rsidRPr="00ED510A">
        <w:rPr>
          <w:sz w:val="18"/>
          <w:szCs w:val="18"/>
        </w:rPr>
        <w:t>2020</w:t>
      </w:r>
      <w:r w:rsidR="00F908EB">
        <w:rPr>
          <w:sz w:val="18"/>
          <w:szCs w:val="18"/>
        </w:rPr>
        <w:t>)</w:t>
      </w:r>
      <w:r w:rsidRPr="00ED510A">
        <w:rPr>
          <w:sz w:val="18"/>
          <w:szCs w:val="18"/>
        </w:rPr>
        <w:t>, p</w:t>
      </w:r>
      <w:r w:rsidR="00B3138E">
        <w:rPr>
          <w:sz w:val="18"/>
          <w:szCs w:val="18"/>
        </w:rPr>
        <w:t>p</w:t>
      </w:r>
      <w:r w:rsidRPr="00ED510A">
        <w:rPr>
          <w:sz w:val="18"/>
          <w:szCs w:val="18"/>
        </w:rPr>
        <w:t>. 173-189.</w:t>
      </w:r>
    </w:p>
  </w:footnote>
  <w:footnote w:id="9">
    <w:p w14:paraId="00000041" w14:textId="0C69F618" w:rsidR="00B31570" w:rsidRPr="00ED510A" w:rsidRDefault="00000000" w:rsidP="00ED510A">
      <w:pPr>
        <w:spacing w:after="0" w:line="240" w:lineRule="auto"/>
        <w:ind w:firstLine="0"/>
        <w:rPr>
          <w:sz w:val="18"/>
          <w:szCs w:val="18"/>
        </w:rPr>
      </w:pPr>
      <w:r w:rsidRPr="00ED510A">
        <w:rPr>
          <w:sz w:val="18"/>
          <w:szCs w:val="18"/>
          <w:vertAlign w:val="superscript"/>
        </w:rPr>
        <w:footnoteRef/>
      </w:r>
      <w:r w:rsidRPr="00ED510A">
        <w:rPr>
          <w:sz w:val="18"/>
          <w:szCs w:val="18"/>
        </w:rPr>
        <w:t xml:space="preserve"> </w:t>
      </w:r>
      <w:proofErr w:type="spellStart"/>
      <w:r w:rsidRPr="00ED510A">
        <w:rPr>
          <w:sz w:val="18"/>
          <w:szCs w:val="18"/>
        </w:rPr>
        <w:t>P</w:t>
      </w:r>
      <w:r w:rsidR="00862DC3">
        <w:rPr>
          <w:sz w:val="18"/>
          <w:szCs w:val="18"/>
        </w:rPr>
        <w:t>ichot</w:t>
      </w:r>
      <w:proofErr w:type="spellEnd"/>
      <w:r w:rsidRPr="00ED510A">
        <w:rPr>
          <w:sz w:val="18"/>
          <w:szCs w:val="18"/>
        </w:rPr>
        <w:t xml:space="preserve"> Charlotte, « Le corps </w:t>
      </w:r>
      <w:proofErr w:type="spellStart"/>
      <w:r w:rsidRPr="00ED510A">
        <w:rPr>
          <w:sz w:val="18"/>
          <w:szCs w:val="18"/>
        </w:rPr>
        <w:t>féminin</w:t>
      </w:r>
      <w:proofErr w:type="spellEnd"/>
      <w:r w:rsidRPr="00ED510A">
        <w:rPr>
          <w:sz w:val="18"/>
          <w:szCs w:val="18"/>
        </w:rPr>
        <w:t xml:space="preserve"> </w:t>
      </w:r>
      <w:proofErr w:type="spellStart"/>
      <w:r w:rsidRPr="00ED510A">
        <w:rPr>
          <w:sz w:val="18"/>
          <w:szCs w:val="18"/>
        </w:rPr>
        <w:t>est</w:t>
      </w:r>
      <w:proofErr w:type="spellEnd"/>
      <w:r w:rsidRPr="00ED510A">
        <w:rPr>
          <w:sz w:val="18"/>
          <w:szCs w:val="18"/>
        </w:rPr>
        <w:t xml:space="preserve">-il un </w:t>
      </w:r>
      <w:proofErr w:type="spellStart"/>
      <w:r w:rsidRPr="00ED510A">
        <w:rPr>
          <w:sz w:val="18"/>
          <w:szCs w:val="18"/>
        </w:rPr>
        <w:t>miroir</w:t>
      </w:r>
      <w:proofErr w:type="spellEnd"/>
      <w:r w:rsidRPr="00ED510A">
        <w:rPr>
          <w:sz w:val="18"/>
          <w:szCs w:val="18"/>
        </w:rPr>
        <w:t xml:space="preserve"> de </w:t>
      </w:r>
      <w:proofErr w:type="spellStart"/>
      <w:r w:rsidRPr="00ED510A">
        <w:rPr>
          <w:sz w:val="18"/>
          <w:szCs w:val="18"/>
        </w:rPr>
        <w:t>l’honneur</w:t>
      </w:r>
      <w:proofErr w:type="spellEnd"/>
      <w:r w:rsidRPr="00ED510A">
        <w:rPr>
          <w:sz w:val="18"/>
          <w:szCs w:val="18"/>
        </w:rPr>
        <w:t xml:space="preserve">? </w:t>
      </w:r>
      <w:proofErr w:type="spellStart"/>
      <w:r w:rsidRPr="00ED510A">
        <w:rPr>
          <w:sz w:val="18"/>
          <w:szCs w:val="18"/>
        </w:rPr>
        <w:t>Quelques</w:t>
      </w:r>
      <w:proofErr w:type="spellEnd"/>
      <w:r w:rsidRPr="00ED510A">
        <w:rPr>
          <w:sz w:val="18"/>
          <w:szCs w:val="18"/>
        </w:rPr>
        <w:t xml:space="preserve"> </w:t>
      </w:r>
      <w:proofErr w:type="spellStart"/>
      <w:r w:rsidRPr="00ED510A">
        <w:rPr>
          <w:sz w:val="18"/>
          <w:szCs w:val="18"/>
        </w:rPr>
        <w:t>pistes</w:t>
      </w:r>
      <w:proofErr w:type="spellEnd"/>
      <w:r w:rsidRPr="00ED510A">
        <w:rPr>
          <w:sz w:val="18"/>
          <w:szCs w:val="18"/>
        </w:rPr>
        <w:t xml:space="preserve"> de </w:t>
      </w:r>
      <w:proofErr w:type="spellStart"/>
      <w:r w:rsidRPr="00ED510A">
        <w:rPr>
          <w:sz w:val="18"/>
          <w:szCs w:val="18"/>
        </w:rPr>
        <w:t>réflexion</w:t>
      </w:r>
      <w:proofErr w:type="spellEnd"/>
      <w:r w:rsidRPr="00ED510A">
        <w:rPr>
          <w:sz w:val="18"/>
          <w:szCs w:val="18"/>
        </w:rPr>
        <w:t xml:space="preserve"> </w:t>
      </w:r>
      <w:proofErr w:type="spellStart"/>
      <w:r w:rsidRPr="00ED510A">
        <w:rPr>
          <w:sz w:val="18"/>
          <w:szCs w:val="18"/>
        </w:rPr>
        <w:t>autour</w:t>
      </w:r>
      <w:proofErr w:type="spellEnd"/>
      <w:r w:rsidRPr="00ED510A">
        <w:rPr>
          <w:sz w:val="18"/>
          <w:szCs w:val="18"/>
        </w:rPr>
        <w:t xml:space="preserve"> des sources </w:t>
      </w:r>
      <w:proofErr w:type="spellStart"/>
      <w:r w:rsidRPr="00ED510A">
        <w:rPr>
          <w:sz w:val="18"/>
          <w:szCs w:val="18"/>
        </w:rPr>
        <w:t>judiciaires</w:t>
      </w:r>
      <w:proofErr w:type="spellEnd"/>
      <w:r w:rsidRPr="00ED510A">
        <w:rPr>
          <w:sz w:val="18"/>
          <w:szCs w:val="18"/>
        </w:rPr>
        <w:t xml:space="preserve"> à la fin du </w:t>
      </w:r>
      <w:proofErr w:type="spellStart"/>
      <w:r w:rsidRPr="00ED510A">
        <w:rPr>
          <w:sz w:val="18"/>
          <w:szCs w:val="18"/>
        </w:rPr>
        <w:t>Moyen</w:t>
      </w:r>
      <w:proofErr w:type="spellEnd"/>
      <w:r w:rsidRPr="00ED510A">
        <w:rPr>
          <w:sz w:val="18"/>
          <w:szCs w:val="18"/>
        </w:rPr>
        <w:t xml:space="preserve"> </w:t>
      </w:r>
      <w:proofErr w:type="spellStart"/>
      <w:r w:rsidRPr="00ED510A">
        <w:rPr>
          <w:sz w:val="18"/>
          <w:szCs w:val="18"/>
        </w:rPr>
        <w:t>Âge</w:t>
      </w:r>
      <w:proofErr w:type="spellEnd"/>
      <w:r w:rsidRPr="00ED510A">
        <w:rPr>
          <w:sz w:val="18"/>
          <w:szCs w:val="18"/>
        </w:rPr>
        <w:t xml:space="preserve"> », </w:t>
      </w:r>
      <w:r w:rsidRPr="00ED510A">
        <w:rPr>
          <w:i/>
          <w:sz w:val="18"/>
          <w:szCs w:val="18"/>
        </w:rPr>
        <w:t xml:space="preserve">Annales de </w:t>
      </w:r>
      <w:proofErr w:type="spellStart"/>
      <w:r w:rsidRPr="00ED510A">
        <w:rPr>
          <w:i/>
          <w:sz w:val="18"/>
          <w:szCs w:val="18"/>
        </w:rPr>
        <w:t>Janua</w:t>
      </w:r>
      <w:proofErr w:type="spellEnd"/>
      <w:r w:rsidRPr="00ED510A">
        <w:rPr>
          <w:sz w:val="18"/>
          <w:szCs w:val="18"/>
        </w:rPr>
        <w:t>, 6</w:t>
      </w:r>
      <w:r w:rsidR="00F908EB">
        <w:rPr>
          <w:sz w:val="18"/>
          <w:szCs w:val="18"/>
        </w:rPr>
        <w:t xml:space="preserve"> (</w:t>
      </w:r>
      <w:r w:rsidRPr="00ED510A">
        <w:rPr>
          <w:sz w:val="18"/>
          <w:szCs w:val="18"/>
        </w:rPr>
        <w:t>2018</w:t>
      </w:r>
      <w:r w:rsidR="00F908EB">
        <w:rPr>
          <w:sz w:val="18"/>
          <w:szCs w:val="18"/>
        </w:rPr>
        <w:t>)</w:t>
      </w:r>
      <w:r w:rsidRPr="00ED510A">
        <w:rPr>
          <w:sz w:val="18"/>
          <w:szCs w:val="18"/>
        </w:rPr>
        <w:t xml:space="preserve">. </w:t>
      </w:r>
    </w:p>
  </w:footnote>
  <w:footnote w:id="10">
    <w:p w14:paraId="00000042" w14:textId="3FD8A948" w:rsidR="00B31570" w:rsidRPr="00ED510A" w:rsidRDefault="00000000" w:rsidP="00ED510A">
      <w:pPr>
        <w:spacing w:after="0" w:line="240" w:lineRule="auto"/>
        <w:ind w:firstLine="0"/>
        <w:rPr>
          <w:sz w:val="18"/>
          <w:szCs w:val="18"/>
        </w:rPr>
      </w:pPr>
      <w:r w:rsidRPr="00ED510A">
        <w:rPr>
          <w:sz w:val="18"/>
          <w:szCs w:val="18"/>
          <w:vertAlign w:val="superscript"/>
        </w:rPr>
        <w:footnoteRef/>
      </w:r>
      <w:r w:rsidRPr="00ED510A">
        <w:rPr>
          <w:sz w:val="18"/>
          <w:szCs w:val="18"/>
        </w:rPr>
        <w:t xml:space="preserve"> </w:t>
      </w:r>
      <w:proofErr w:type="spellStart"/>
      <w:r w:rsidRPr="00ED510A">
        <w:rPr>
          <w:sz w:val="18"/>
          <w:szCs w:val="18"/>
        </w:rPr>
        <w:t>G</w:t>
      </w:r>
      <w:r w:rsidR="00862DC3">
        <w:rPr>
          <w:sz w:val="18"/>
          <w:szCs w:val="18"/>
        </w:rPr>
        <w:t>enard</w:t>
      </w:r>
      <w:proofErr w:type="spellEnd"/>
      <w:r w:rsidRPr="00ED510A">
        <w:rPr>
          <w:sz w:val="18"/>
          <w:szCs w:val="18"/>
        </w:rPr>
        <w:t xml:space="preserve"> Jean-Louis, « Une </w:t>
      </w:r>
      <w:proofErr w:type="spellStart"/>
      <w:r w:rsidRPr="00ED510A">
        <w:rPr>
          <w:sz w:val="18"/>
          <w:szCs w:val="18"/>
        </w:rPr>
        <w:t>réflexion</w:t>
      </w:r>
      <w:proofErr w:type="spellEnd"/>
      <w:r w:rsidRPr="00ED510A">
        <w:rPr>
          <w:sz w:val="18"/>
          <w:szCs w:val="18"/>
        </w:rPr>
        <w:t xml:space="preserve"> sur </w:t>
      </w:r>
      <w:proofErr w:type="spellStart"/>
      <w:r w:rsidRPr="00ED510A">
        <w:rPr>
          <w:sz w:val="18"/>
          <w:szCs w:val="18"/>
        </w:rPr>
        <w:t>l'anthropologie</w:t>
      </w:r>
      <w:proofErr w:type="spellEnd"/>
      <w:r w:rsidRPr="00ED510A">
        <w:rPr>
          <w:sz w:val="18"/>
          <w:szCs w:val="18"/>
        </w:rPr>
        <w:t xml:space="preserve"> de la </w:t>
      </w:r>
      <w:proofErr w:type="spellStart"/>
      <w:r w:rsidRPr="00ED510A">
        <w:rPr>
          <w:sz w:val="18"/>
          <w:szCs w:val="18"/>
        </w:rPr>
        <w:t>fragilité</w:t>
      </w:r>
      <w:proofErr w:type="spellEnd"/>
      <w:r w:rsidRPr="00ED510A">
        <w:rPr>
          <w:sz w:val="18"/>
          <w:szCs w:val="18"/>
        </w:rPr>
        <w:t xml:space="preserve">, de la </w:t>
      </w:r>
      <w:proofErr w:type="spellStart"/>
      <w:r w:rsidRPr="00ED510A">
        <w:rPr>
          <w:sz w:val="18"/>
          <w:szCs w:val="18"/>
        </w:rPr>
        <w:t>vulnérabilité</w:t>
      </w:r>
      <w:proofErr w:type="spellEnd"/>
      <w:r w:rsidRPr="00ED510A">
        <w:rPr>
          <w:sz w:val="18"/>
          <w:szCs w:val="18"/>
        </w:rPr>
        <w:t xml:space="preserve"> et de la </w:t>
      </w:r>
      <w:proofErr w:type="spellStart"/>
      <w:r w:rsidRPr="00ED510A">
        <w:rPr>
          <w:sz w:val="18"/>
          <w:szCs w:val="18"/>
        </w:rPr>
        <w:t>souffrance</w:t>
      </w:r>
      <w:proofErr w:type="spellEnd"/>
      <w:r w:rsidRPr="00ED510A">
        <w:rPr>
          <w:sz w:val="18"/>
          <w:szCs w:val="18"/>
        </w:rPr>
        <w:t xml:space="preserve"> », </w:t>
      </w:r>
      <w:r w:rsidR="00F908EB">
        <w:rPr>
          <w:sz w:val="18"/>
          <w:szCs w:val="18"/>
        </w:rPr>
        <w:t>in</w:t>
      </w:r>
      <w:r w:rsidRPr="00ED510A">
        <w:rPr>
          <w:sz w:val="18"/>
          <w:szCs w:val="18"/>
        </w:rPr>
        <w:t xml:space="preserve"> </w:t>
      </w:r>
      <w:proofErr w:type="spellStart"/>
      <w:r w:rsidRPr="00ED510A">
        <w:rPr>
          <w:sz w:val="18"/>
          <w:szCs w:val="18"/>
        </w:rPr>
        <w:t>P</w:t>
      </w:r>
      <w:r w:rsidR="00862DC3">
        <w:rPr>
          <w:sz w:val="18"/>
          <w:szCs w:val="18"/>
        </w:rPr>
        <w:t>érilleux</w:t>
      </w:r>
      <w:proofErr w:type="spellEnd"/>
      <w:r w:rsidRPr="00ED510A">
        <w:rPr>
          <w:sz w:val="18"/>
          <w:szCs w:val="18"/>
        </w:rPr>
        <w:t xml:space="preserve"> Thomas </w:t>
      </w:r>
      <w:r w:rsidR="00F908EB">
        <w:rPr>
          <w:iCs/>
          <w:sz w:val="18"/>
          <w:szCs w:val="18"/>
        </w:rPr>
        <w:t>and</w:t>
      </w:r>
      <w:r w:rsidR="00862DC3" w:rsidRPr="00862DC3">
        <w:rPr>
          <w:iCs/>
          <w:sz w:val="18"/>
          <w:szCs w:val="18"/>
        </w:rPr>
        <w:t xml:space="preserve"> </w:t>
      </w:r>
      <w:proofErr w:type="spellStart"/>
      <w:r w:rsidR="00862DC3" w:rsidRPr="00862DC3">
        <w:rPr>
          <w:iCs/>
          <w:sz w:val="18"/>
          <w:szCs w:val="18"/>
        </w:rPr>
        <w:t>Cultiaux</w:t>
      </w:r>
      <w:proofErr w:type="spellEnd"/>
      <w:r w:rsidR="00862DC3" w:rsidRPr="00862DC3">
        <w:rPr>
          <w:iCs/>
          <w:sz w:val="18"/>
          <w:szCs w:val="18"/>
        </w:rPr>
        <w:t xml:space="preserve"> John (</w:t>
      </w:r>
      <w:r w:rsidR="00F908EB">
        <w:rPr>
          <w:iCs/>
          <w:sz w:val="18"/>
          <w:szCs w:val="18"/>
        </w:rPr>
        <w:t>eds</w:t>
      </w:r>
      <w:r w:rsidR="00862DC3" w:rsidRPr="00862DC3">
        <w:rPr>
          <w:iCs/>
          <w:sz w:val="18"/>
          <w:szCs w:val="18"/>
        </w:rPr>
        <w:t>.)</w:t>
      </w:r>
      <w:r w:rsidRPr="00862DC3">
        <w:rPr>
          <w:iCs/>
          <w:sz w:val="18"/>
          <w:szCs w:val="18"/>
        </w:rPr>
        <w:t xml:space="preserve">, </w:t>
      </w:r>
      <w:proofErr w:type="spellStart"/>
      <w:r w:rsidRPr="00ED510A">
        <w:rPr>
          <w:i/>
          <w:sz w:val="18"/>
          <w:szCs w:val="18"/>
        </w:rPr>
        <w:t>Destins</w:t>
      </w:r>
      <w:proofErr w:type="spellEnd"/>
      <w:r w:rsidRPr="00ED510A">
        <w:rPr>
          <w:i/>
          <w:sz w:val="18"/>
          <w:szCs w:val="18"/>
        </w:rPr>
        <w:t xml:space="preserve"> politiques de la </w:t>
      </w:r>
      <w:proofErr w:type="spellStart"/>
      <w:r w:rsidRPr="00ED510A">
        <w:rPr>
          <w:i/>
          <w:sz w:val="18"/>
          <w:szCs w:val="18"/>
        </w:rPr>
        <w:t>souffrance</w:t>
      </w:r>
      <w:proofErr w:type="spellEnd"/>
      <w:r w:rsidRPr="00ED510A">
        <w:rPr>
          <w:sz w:val="18"/>
          <w:szCs w:val="18"/>
        </w:rPr>
        <w:t xml:space="preserve">, </w:t>
      </w:r>
      <w:r w:rsidR="00862DC3">
        <w:rPr>
          <w:sz w:val="18"/>
          <w:szCs w:val="18"/>
        </w:rPr>
        <w:t>Toulouse</w:t>
      </w:r>
      <w:r w:rsidRPr="00ED510A">
        <w:rPr>
          <w:sz w:val="18"/>
          <w:szCs w:val="18"/>
        </w:rPr>
        <w:t>, 2009.</w:t>
      </w:r>
    </w:p>
  </w:footnote>
  <w:footnote w:id="11">
    <w:p w14:paraId="00000043" w14:textId="35EC4D44" w:rsidR="00B31570" w:rsidRPr="00ED510A" w:rsidRDefault="00000000" w:rsidP="00ED510A">
      <w:pPr>
        <w:spacing w:after="0" w:line="240" w:lineRule="auto"/>
        <w:ind w:firstLine="0"/>
        <w:rPr>
          <w:sz w:val="18"/>
          <w:szCs w:val="18"/>
        </w:rPr>
      </w:pPr>
      <w:r w:rsidRPr="00ED510A">
        <w:rPr>
          <w:sz w:val="18"/>
          <w:szCs w:val="18"/>
          <w:vertAlign w:val="superscript"/>
        </w:rPr>
        <w:footnoteRef/>
      </w:r>
      <w:r w:rsidRPr="00ED510A">
        <w:rPr>
          <w:sz w:val="18"/>
          <w:szCs w:val="18"/>
        </w:rPr>
        <w:t xml:space="preserve"> </w:t>
      </w:r>
      <w:r w:rsidRPr="00862DC3">
        <w:rPr>
          <w:i/>
          <w:iCs/>
          <w:sz w:val="18"/>
          <w:szCs w:val="18"/>
        </w:rPr>
        <w:t>La Bible</w:t>
      </w:r>
      <w:r w:rsidRPr="00ED510A">
        <w:rPr>
          <w:sz w:val="18"/>
          <w:szCs w:val="18"/>
        </w:rPr>
        <w:t>, Matthieu 9</w:t>
      </w:r>
      <w:r w:rsidR="00862DC3">
        <w:rPr>
          <w:sz w:val="18"/>
          <w:szCs w:val="18"/>
        </w:rPr>
        <w:t>:</w:t>
      </w:r>
      <w:r w:rsidRPr="00ED510A">
        <w:rPr>
          <w:sz w:val="18"/>
          <w:szCs w:val="18"/>
        </w:rPr>
        <w:t>32-33, Marc 9:17.</w:t>
      </w:r>
    </w:p>
  </w:footnote>
  <w:footnote w:id="12">
    <w:p w14:paraId="00000044" w14:textId="1091F6CD" w:rsidR="00B31570" w:rsidRPr="00ED510A" w:rsidRDefault="00000000" w:rsidP="00ED510A">
      <w:pPr>
        <w:spacing w:after="0" w:line="240" w:lineRule="auto"/>
        <w:ind w:firstLine="0"/>
        <w:rPr>
          <w:sz w:val="18"/>
          <w:szCs w:val="18"/>
        </w:rPr>
      </w:pPr>
      <w:r w:rsidRPr="00ED510A">
        <w:rPr>
          <w:sz w:val="18"/>
          <w:szCs w:val="18"/>
          <w:vertAlign w:val="superscript"/>
        </w:rPr>
        <w:footnoteRef/>
      </w:r>
      <w:r w:rsidRPr="00ED510A">
        <w:rPr>
          <w:sz w:val="18"/>
          <w:szCs w:val="18"/>
        </w:rPr>
        <w:t xml:space="preserve"> Metzler Irina, </w:t>
      </w:r>
      <w:r w:rsidRPr="00ED510A">
        <w:rPr>
          <w:i/>
          <w:sz w:val="18"/>
          <w:szCs w:val="18"/>
        </w:rPr>
        <w:t>A Social History of Disability in the Middle Ages, Cultural considerations of physical impairment</w:t>
      </w:r>
      <w:r w:rsidRPr="00ED510A">
        <w:rPr>
          <w:sz w:val="18"/>
          <w:szCs w:val="18"/>
        </w:rPr>
        <w:t xml:space="preserve">, New York, 2013. </w:t>
      </w:r>
    </w:p>
  </w:footnote>
  <w:footnote w:id="13">
    <w:p w14:paraId="00000045" w14:textId="6C0E51E7" w:rsidR="00B31570" w:rsidRPr="00ED510A" w:rsidRDefault="00000000" w:rsidP="00ED510A">
      <w:pPr>
        <w:spacing w:after="0" w:line="240" w:lineRule="auto"/>
        <w:ind w:firstLine="0"/>
        <w:rPr>
          <w:sz w:val="18"/>
          <w:szCs w:val="18"/>
        </w:rPr>
      </w:pPr>
      <w:r w:rsidRPr="00ED510A">
        <w:rPr>
          <w:sz w:val="18"/>
          <w:szCs w:val="18"/>
          <w:vertAlign w:val="superscript"/>
        </w:rPr>
        <w:footnoteRef/>
      </w:r>
      <w:r w:rsidRPr="00ED510A">
        <w:rPr>
          <w:sz w:val="18"/>
          <w:szCs w:val="18"/>
        </w:rPr>
        <w:t xml:space="preserve"> </w:t>
      </w:r>
      <w:proofErr w:type="spellStart"/>
      <w:r w:rsidRPr="00ED510A">
        <w:rPr>
          <w:sz w:val="18"/>
          <w:szCs w:val="18"/>
        </w:rPr>
        <w:t>Rodot</w:t>
      </w:r>
      <w:proofErr w:type="spellEnd"/>
      <w:r w:rsidRPr="00ED510A">
        <w:rPr>
          <w:sz w:val="18"/>
          <w:szCs w:val="18"/>
        </w:rPr>
        <w:t xml:space="preserve"> Thomas, </w:t>
      </w:r>
      <w:r w:rsidRPr="00862DC3">
        <w:rPr>
          <w:i/>
          <w:iCs/>
          <w:sz w:val="18"/>
          <w:szCs w:val="18"/>
        </w:rPr>
        <w:t xml:space="preserve">Un regard pour entendre: </w:t>
      </w:r>
      <w:proofErr w:type="spellStart"/>
      <w:r w:rsidRPr="00862DC3">
        <w:rPr>
          <w:i/>
          <w:iCs/>
          <w:sz w:val="18"/>
          <w:szCs w:val="18"/>
        </w:rPr>
        <w:t>sourds</w:t>
      </w:r>
      <w:proofErr w:type="spellEnd"/>
      <w:r w:rsidRPr="00862DC3">
        <w:rPr>
          <w:i/>
          <w:iCs/>
          <w:sz w:val="18"/>
          <w:szCs w:val="18"/>
        </w:rPr>
        <w:t xml:space="preserve"> et </w:t>
      </w:r>
      <w:proofErr w:type="spellStart"/>
      <w:r w:rsidRPr="00862DC3">
        <w:rPr>
          <w:i/>
          <w:iCs/>
          <w:sz w:val="18"/>
          <w:szCs w:val="18"/>
        </w:rPr>
        <w:t>surdité</w:t>
      </w:r>
      <w:proofErr w:type="spellEnd"/>
      <w:r w:rsidRPr="00862DC3">
        <w:rPr>
          <w:i/>
          <w:iCs/>
          <w:sz w:val="18"/>
          <w:szCs w:val="18"/>
        </w:rPr>
        <w:t xml:space="preserve"> dans </w:t>
      </w:r>
      <w:proofErr w:type="spellStart"/>
      <w:r w:rsidRPr="00862DC3">
        <w:rPr>
          <w:i/>
          <w:iCs/>
          <w:sz w:val="18"/>
          <w:szCs w:val="18"/>
        </w:rPr>
        <w:t>l'Occident</w:t>
      </w:r>
      <w:proofErr w:type="spellEnd"/>
      <w:r w:rsidRPr="00862DC3">
        <w:rPr>
          <w:i/>
          <w:iCs/>
          <w:sz w:val="18"/>
          <w:szCs w:val="18"/>
        </w:rPr>
        <w:t xml:space="preserve"> du Bas </w:t>
      </w:r>
      <w:proofErr w:type="spellStart"/>
      <w:r w:rsidRPr="00862DC3">
        <w:rPr>
          <w:i/>
          <w:iCs/>
          <w:sz w:val="18"/>
          <w:szCs w:val="18"/>
        </w:rPr>
        <w:t>Moyen-Âge</w:t>
      </w:r>
      <w:proofErr w:type="spellEnd"/>
      <w:r w:rsidRPr="00862DC3">
        <w:rPr>
          <w:i/>
          <w:iCs/>
          <w:sz w:val="18"/>
          <w:szCs w:val="18"/>
        </w:rPr>
        <w:t xml:space="preserve"> (</w:t>
      </w:r>
      <w:proofErr w:type="spellStart"/>
      <w:r w:rsidRPr="00862DC3">
        <w:rPr>
          <w:i/>
          <w:iCs/>
          <w:sz w:val="18"/>
          <w:szCs w:val="18"/>
        </w:rPr>
        <w:t>XIIIe-XVe</w:t>
      </w:r>
      <w:proofErr w:type="spellEnd"/>
      <w:r w:rsidRPr="00862DC3">
        <w:rPr>
          <w:i/>
          <w:iCs/>
          <w:sz w:val="18"/>
          <w:szCs w:val="18"/>
        </w:rPr>
        <w:t xml:space="preserve"> siècles)</w:t>
      </w:r>
      <w:r w:rsidRPr="00ED510A">
        <w:rPr>
          <w:sz w:val="18"/>
          <w:szCs w:val="18"/>
        </w:rPr>
        <w:t>, Paris, 2022.</w:t>
      </w:r>
    </w:p>
  </w:footnote>
  <w:footnote w:id="14">
    <w:p w14:paraId="00000046" w14:textId="278EAAF9" w:rsidR="00B31570" w:rsidRPr="00ED510A" w:rsidRDefault="00000000" w:rsidP="00ED510A">
      <w:pPr>
        <w:spacing w:after="0" w:line="240" w:lineRule="auto"/>
        <w:ind w:firstLine="0"/>
        <w:rPr>
          <w:sz w:val="18"/>
          <w:szCs w:val="18"/>
        </w:rPr>
      </w:pPr>
      <w:r w:rsidRPr="00ED510A">
        <w:rPr>
          <w:sz w:val="18"/>
          <w:szCs w:val="18"/>
          <w:vertAlign w:val="superscript"/>
        </w:rPr>
        <w:footnoteRef/>
      </w:r>
      <w:r w:rsidRPr="00ED510A">
        <w:rPr>
          <w:sz w:val="18"/>
          <w:szCs w:val="18"/>
        </w:rPr>
        <w:t xml:space="preserve"> </w:t>
      </w:r>
      <w:proofErr w:type="spellStart"/>
      <w:r w:rsidRPr="00ED510A">
        <w:rPr>
          <w:sz w:val="18"/>
          <w:szCs w:val="18"/>
        </w:rPr>
        <w:t>Pline</w:t>
      </w:r>
      <w:proofErr w:type="spellEnd"/>
      <w:r w:rsidRPr="00ED510A">
        <w:rPr>
          <w:sz w:val="18"/>
          <w:szCs w:val="18"/>
        </w:rPr>
        <w:t xml:space="preserve"> </w:t>
      </w:r>
      <w:proofErr w:type="spellStart"/>
      <w:r w:rsidRPr="00ED510A">
        <w:rPr>
          <w:sz w:val="18"/>
          <w:szCs w:val="18"/>
        </w:rPr>
        <w:t>l’Ancien</w:t>
      </w:r>
      <w:proofErr w:type="spellEnd"/>
      <w:r w:rsidRPr="00ED510A">
        <w:rPr>
          <w:sz w:val="18"/>
          <w:szCs w:val="18"/>
        </w:rPr>
        <w:t xml:space="preserve">, </w:t>
      </w:r>
      <w:proofErr w:type="spellStart"/>
      <w:r w:rsidRPr="00ED510A">
        <w:rPr>
          <w:i/>
          <w:sz w:val="18"/>
          <w:szCs w:val="18"/>
        </w:rPr>
        <w:t>Histoire</w:t>
      </w:r>
      <w:proofErr w:type="spellEnd"/>
      <w:r w:rsidRPr="00ED510A">
        <w:rPr>
          <w:i/>
          <w:sz w:val="18"/>
          <w:szCs w:val="18"/>
        </w:rPr>
        <w:t xml:space="preserve"> naturelle</w:t>
      </w:r>
      <w:r w:rsidR="00975818">
        <w:rPr>
          <w:i/>
          <w:sz w:val="18"/>
          <w:szCs w:val="18"/>
        </w:rPr>
        <w:t xml:space="preserve"> </w:t>
      </w:r>
      <w:r w:rsidR="00975818" w:rsidRPr="00975818">
        <w:rPr>
          <w:iCs/>
          <w:sz w:val="18"/>
          <w:szCs w:val="18"/>
        </w:rPr>
        <w:t>(</w:t>
      </w:r>
      <w:r w:rsidRPr="00975818">
        <w:rPr>
          <w:iCs/>
          <w:sz w:val="18"/>
          <w:szCs w:val="18"/>
        </w:rPr>
        <w:t>tome 2</w:t>
      </w:r>
      <w:r w:rsidR="00975818" w:rsidRPr="00975818">
        <w:rPr>
          <w:iCs/>
          <w:sz w:val="18"/>
          <w:szCs w:val="18"/>
        </w:rPr>
        <w:t>)</w:t>
      </w:r>
      <w:r w:rsidRPr="00975818">
        <w:rPr>
          <w:iCs/>
          <w:sz w:val="18"/>
          <w:szCs w:val="18"/>
        </w:rPr>
        <w:t xml:space="preserve">, </w:t>
      </w:r>
      <w:r w:rsidR="00975818">
        <w:rPr>
          <w:sz w:val="18"/>
          <w:szCs w:val="18"/>
        </w:rPr>
        <w:t>trad.</w:t>
      </w:r>
      <w:r w:rsidRPr="00ED510A">
        <w:rPr>
          <w:sz w:val="18"/>
          <w:szCs w:val="18"/>
        </w:rPr>
        <w:t xml:space="preserve"> </w:t>
      </w:r>
      <w:proofErr w:type="spellStart"/>
      <w:r w:rsidRPr="00ED510A">
        <w:rPr>
          <w:sz w:val="18"/>
          <w:szCs w:val="18"/>
        </w:rPr>
        <w:t>Littré</w:t>
      </w:r>
      <w:proofErr w:type="spellEnd"/>
      <w:r w:rsidR="00862DC3">
        <w:rPr>
          <w:sz w:val="18"/>
          <w:szCs w:val="18"/>
        </w:rPr>
        <w:t xml:space="preserve"> Émile</w:t>
      </w:r>
      <w:r w:rsidRPr="00ED510A">
        <w:rPr>
          <w:sz w:val="18"/>
          <w:szCs w:val="18"/>
        </w:rPr>
        <w:t>, Paris, 1877, p</w:t>
      </w:r>
      <w:r w:rsidR="00975818">
        <w:rPr>
          <w:sz w:val="18"/>
          <w:szCs w:val="18"/>
        </w:rPr>
        <w:t>.</w:t>
      </w:r>
      <w:r w:rsidRPr="00ED510A">
        <w:rPr>
          <w:sz w:val="18"/>
          <w:szCs w:val="18"/>
        </w:rPr>
        <w:t xml:space="preserve"> 585.</w:t>
      </w:r>
    </w:p>
  </w:footnote>
  <w:footnote w:id="15">
    <w:p w14:paraId="00000047" w14:textId="22DE21DD" w:rsidR="00B31570" w:rsidRPr="00ED510A" w:rsidRDefault="00000000" w:rsidP="00ED510A">
      <w:pPr>
        <w:spacing w:after="0" w:line="240" w:lineRule="auto"/>
        <w:ind w:firstLine="0"/>
        <w:rPr>
          <w:sz w:val="18"/>
          <w:szCs w:val="18"/>
        </w:rPr>
      </w:pPr>
      <w:r w:rsidRPr="00ED510A">
        <w:rPr>
          <w:sz w:val="18"/>
          <w:szCs w:val="18"/>
          <w:vertAlign w:val="superscript"/>
        </w:rPr>
        <w:footnoteRef/>
      </w:r>
      <w:r w:rsidR="00862DC3">
        <w:rPr>
          <w:sz w:val="18"/>
          <w:szCs w:val="18"/>
        </w:rPr>
        <w:t xml:space="preserve"> </w:t>
      </w:r>
      <w:proofErr w:type="spellStart"/>
      <w:r w:rsidRPr="00ED510A">
        <w:rPr>
          <w:sz w:val="18"/>
          <w:szCs w:val="18"/>
        </w:rPr>
        <w:t>Cantin</w:t>
      </w:r>
      <w:proofErr w:type="spellEnd"/>
      <w:r w:rsidRPr="00ED510A">
        <w:rPr>
          <w:sz w:val="18"/>
          <w:szCs w:val="18"/>
        </w:rPr>
        <w:t xml:space="preserve"> Yann</w:t>
      </w:r>
      <w:r w:rsidR="00AC7ED2">
        <w:rPr>
          <w:sz w:val="18"/>
          <w:szCs w:val="18"/>
        </w:rPr>
        <w:t xml:space="preserve"> and</w:t>
      </w:r>
      <w:r w:rsidR="00975818">
        <w:rPr>
          <w:sz w:val="18"/>
          <w:szCs w:val="18"/>
        </w:rPr>
        <w:t xml:space="preserve"> </w:t>
      </w:r>
      <w:proofErr w:type="spellStart"/>
      <w:r w:rsidRPr="00ED510A">
        <w:rPr>
          <w:sz w:val="18"/>
          <w:szCs w:val="18"/>
        </w:rPr>
        <w:t>Cantin</w:t>
      </w:r>
      <w:proofErr w:type="spellEnd"/>
      <w:r w:rsidRPr="00ED510A">
        <w:rPr>
          <w:sz w:val="18"/>
          <w:szCs w:val="18"/>
        </w:rPr>
        <w:t xml:space="preserve"> </w:t>
      </w:r>
      <w:proofErr w:type="spellStart"/>
      <w:r w:rsidRPr="00ED510A">
        <w:rPr>
          <w:sz w:val="18"/>
          <w:szCs w:val="18"/>
        </w:rPr>
        <w:t>Angélique</w:t>
      </w:r>
      <w:proofErr w:type="spellEnd"/>
      <w:r w:rsidRPr="00ED510A">
        <w:rPr>
          <w:sz w:val="18"/>
          <w:szCs w:val="18"/>
        </w:rPr>
        <w:t xml:space="preserve">, </w:t>
      </w:r>
      <w:proofErr w:type="spellStart"/>
      <w:r w:rsidRPr="00975818">
        <w:rPr>
          <w:i/>
          <w:iCs/>
          <w:sz w:val="18"/>
          <w:szCs w:val="18"/>
        </w:rPr>
        <w:t>Dictionnaire</w:t>
      </w:r>
      <w:proofErr w:type="spellEnd"/>
      <w:r w:rsidRPr="00975818">
        <w:rPr>
          <w:i/>
          <w:iCs/>
          <w:sz w:val="18"/>
          <w:szCs w:val="18"/>
        </w:rPr>
        <w:t xml:space="preserve"> </w:t>
      </w:r>
      <w:proofErr w:type="spellStart"/>
      <w:r w:rsidRPr="00975818">
        <w:rPr>
          <w:i/>
          <w:iCs/>
          <w:sz w:val="18"/>
          <w:szCs w:val="18"/>
        </w:rPr>
        <w:t>biographique</w:t>
      </w:r>
      <w:proofErr w:type="spellEnd"/>
      <w:r w:rsidRPr="00975818">
        <w:rPr>
          <w:i/>
          <w:iCs/>
          <w:sz w:val="18"/>
          <w:szCs w:val="18"/>
        </w:rPr>
        <w:t xml:space="preserve"> des grands </w:t>
      </w:r>
      <w:proofErr w:type="spellStart"/>
      <w:r w:rsidRPr="00975818">
        <w:rPr>
          <w:i/>
          <w:iCs/>
          <w:sz w:val="18"/>
          <w:szCs w:val="18"/>
        </w:rPr>
        <w:t>sourds</w:t>
      </w:r>
      <w:proofErr w:type="spellEnd"/>
      <w:r w:rsidRPr="00975818">
        <w:rPr>
          <w:i/>
          <w:iCs/>
          <w:sz w:val="18"/>
          <w:szCs w:val="18"/>
        </w:rPr>
        <w:t xml:space="preserve"> </w:t>
      </w:r>
      <w:proofErr w:type="spellStart"/>
      <w:r w:rsidRPr="00975818">
        <w:rPr>
          <w:i/>
          <w:iCs/>
          <w:sz w:val="18"/>
          <w:szCs w:val="18"/>
        </w:rPr>
        <w:t>en</w:t>
      </w:r>
      <w:proofErr w:type="spellEnd"/>
      <w:r w:rsidRPr="00975818">
        <w:rPr>
          <w:i/>
          <w:iCs/>
          <w:sz w:val="18"/>
          <w:szCs w:val="18"/>
        </w:rPr>
        <w:t xml:space="preserve"> France: Les </w:t>
      </w:r>
      <w:proofErr w:type="spellStart"/>
      <w:r w:rsidRPr="00975818">
        <w:rPr>
          <w:i/>
          <w:iCs/>
          <w:sz w:val="18"/>
          <w:szCs w:val="18"/>
        </w:rPr>
        <w:t>silencieux</w:t>
      </w:r>
      <w:proofErr w:type="spellEnd"/>
      <w:r w:rsidRPr="00975818">
        <w:rPr>
          <w:i/>
          <w:iCs/>
          <w:sz w:val="18"/>
          <w:szCs w:val="18"/>
        </w:rPr>
        <w:t xml:space="preserve"> de France (1450-1920)</w:t>
      </w:r>
      <w:r w:rsidRPr="00ED510A">
        <w:rPr>
          <w:sz w:val="18"/>
          <w:szCs w:val="18"/>
        </w:rPr>
        <w:t>, Paris, 2017, p</w:t>
      </w:r>
      <w:r w:rsidR="00B3138E">
        <w:rPr>
          <w:sz w:val="18"/>
          <w:szCs w:val="18"/>
        </w:rPr>
        <w:t>p</w:t>
      </w:r>
      <w:r w:rsidR="00975818">
        <w:rPr>
          <w:sz w:val="18"/>
          <w:szCs w:val="18"/>
        </w:rPr>
        <w:t>.</w:t>
      </w:r>
      <w:r w:rsidRPr="00ED510A">
        <w:rPr>
          <w:sz w:val="18"/>
          <w:szCs w:val="18"/>
        </w:rPr>
        <w:t xml:space="preserve"> 9</w:t>
      </w:r>
      <w:r w:rsidR="00975818">
        <w:rPr>
          <w:sz w:val="18"/>
          <w:szCs w:val="18"/>
        </w:rPr>
        <w:t>-</w:t>
      </w:r>
      <w:r w:rsidRPr="00ED510A">
        <w:rPr>
          <w:sz w:val="18"/>
          <w:szCs w:val="18"/>
        </w:rPr>
        <w:t>23.</w:t>
      </w:r>
    </w:p>
  </w:footnote>
  <w:footnote w:id="16">
    <w:p w14:paraId="00000038" w14:textId="568CDCBE" w:rsidR="00B31570" w:rsidRPr="00ED510A" w:rsidRDefault="00000000">
      <w:pPr>
        <w:spacing w:line="240" w:lineRule="auto"/>
        <w:ind w:firstLine="0"/>
        <w:rPr>
          <w:sz w:val="18"/>
          <w:szCs w:val="18"/>
        </w:rPr>
      </w:pPr>
      <w:r w:rsidRPr="00ED510A">
        <w:rPr>
          <w:sz w:val="18"/>
          <w:szCs w:val="18"/>
          <w:vertAlign w:val="superscript"/>
        </w:rPr>
        <w:footnoteRef/>
      </w:r>
      <w:r w:rsidRPr="00ED510A">
        <w:rPr>
          <w:sz w:val="18"/>
          <w:szCs w:val="18"/>
        </w:rPr>
        <w:t xml:space="preserve"> Le </w:t>
      </w:r>
      <w:proofErr w:type="spellStart"/>
      <w:r w:rsidRPr="00ED510A">
        <w:rPr>
          <w:sz w:val="18"/>
          <w:szCs w:val="18"/>
        </w:rPr>
        <w:t>Blévec</w:t>
      </w:r>
      <w:proofErr w:type="spellEnd"/>
      <w:r w:rsidR="0040094C">
        <w:rPr>
          <w:sz w:val="18"/>
          <w:szCs w:val="18"/>
        </w:rPr>
        <w:t xml:space="preserve"> Daniel, </w:t>
      </w:r>
      <w:bookmarkStart w:id="9" w:name="_Hlk125044865"/>
      <w:r w:rsidR="0040094C" w:rsidRPr="0040094C">
        <w:rPr>
          <w:sz w:val="18"/>
          <w:szCs w:val="18"/>
        </w:rPr>
        <w:t>«</w:t>
      </w:r>
      <w:bookmarkEnd w:id="9"/>
      <w:r w:rsidR="0040094C">
        <w:rPr>
          <w:sz w:val="18"/>
          <w:szCs w:val="18"/>
        </w:rPr>
        <w:t xml:space="preserve"> </w:t>
      </w:r>
      <w:r w:rsidRPr="00ED510A">
        <w:rPr>
          <w:sz w:val="18"/>
          <w:szCs w:val="18"/>
        </w:rPr>
        <w:t xml:space="preserve">Les </w:t>
      </w:r>
      <w:proofErr w:type="spellStart"/>
      <w:r w:rsidRPr="00ED510A">
        <w:rPr>
          <w:sz w:val="18"/>
          <w:szCs w:val="18"/>
        </w:rPr>
        <w:t>lépreux</w:t>
      </w:r>
      <w:proofErr w:type="spellEnd"/>
      <w:r w:rsidRPr="00ED510A">
        <w:rPr>
          <w:sz w:val="18"/>
          <w:szCs w:val="18"/>
        </w:rPr>
        <w:t xml:space="preserve"> </w:t>
      </w:r>
      <w:proofErr w:type="spellStart"/>
      <w:r w:rsidRPr="00ED510A">
        <w:rPr>
          <w:sz w:val="18"/>
          <w:szCs w:val="18"/>
        </w:rPr>
        <w:t>peuvent-ils</w:t>
      </w:r>
      <w:proofErr w:type="spellEnd"/>
      <w:r w:rsidRPr="00ED510A">
        <w:rPr>
          <w:sz w:val="18"/>
          <w:szCs w:val="18"/>
        </w:rPr>
        <w:t xml:space="preserve"> vivre </w:t>
      </w:r>
      <w:proofErr w:type="spellStart"/>
      <w:r w:rsidRPr="00ED510A">
        <w:rPr>
          <w:sz w:val="18"/>
          <w:szCs w:val="18"/>
        </w:rPr>
        <w:t>en</w:t>
      </w:r>
      <w:proofErr w:type="spellEnd"/>
      <w:r w:rsidRPr="00ED510A">
        <w:rPr>
          <w:sz w:val="18"/>
          <w:szCs w:val="18"/>
        </w:rPr>
        <w:t xml:space="preserve"> </w:t>
      </w:r>
      <w:proofErr w:type="spellStart"/>
      <w:r w:rsidRPr="00ED510A">
        <w:rPr>
          <w:sz w:val="18"/>
          <w:szCs w:val="18"/>
        </w:rPr>
        <w:t>société</w:t>
      </w:r>
      <w:proofErr w:type="spellEnd"/>
      <w:r w:rsidRPr="00ED510A">
        <w:rPr>
          <w:sz w:val="18"/>
          <w:szCs w:val="18"/>
        </w:rPr>
        <w:t>?</w:t>
      </w:r>
      <w:r w:rsidR="0040094C" w:rsidRPr="0040094C">
        <w:rPr>
          <w:sz w:val="18"/>
          <w:szCs w:val="18"/>
        </w:rPr>
        <w:t xml:space="preserve"> </w:t>
      </w:r>
      <w:proofErr w:type="spellStart"/>
      <w:r w:rsidR="0040094C">
        <w:rPr>
          <w:sz w:val="18"/>
          <w:szCs w:val="18"/>
        </w:rPr>
        <w:t>réflexions</w:t>
      </w:r>
      <w:proofErr w:type="spellEnd"/>
      <w:r w:rsidR="0040094C">
        <w:rPr>
          <w:sz w:val="18"/>
          <w:szCs w:val="18"/>
        </w:rPr>
        <w:t xml:space="preserve"> sur </w:t>
      </w:r>
      <w:proofErr w:type="spellStart"/>
      <w:r w:rsidR="0040094C">
        <w:rPr>
          <w:sz w:val="18"/>
          <w:szCs w:val="18"/>
        </w:rPr>
        <w:t>l’exclusion</w:t>
      </w:r>
      <w:proofErr w:type="spellEnd"/>
      <w:r w:rsidR="0040094C">
        <w:rPr>
          <w:sz w:val="18"/>
          <w:szCs w:val="18"/>
        </w:rPr>
        <w:t xml:space="preserve"> </w:t>
      </w:r>
      <w:proofErr w:type="spellStart"/>
      <w:r w:rsidR="0040094C">
        <w:rPr>
          <w:sz w:val="18"/>
          <w:szCs w:val="18"/>
        </w:rPr>
        <w:t>sociale</w:t>
      </w:r>
      <w:proofErr w:type="spellEnd"/>
      <w:r w:rsidR="0040094C">
        <w:rPr>
          <w:sz w:val="18"/>
          <w:szCs w:val="18"/>
        </w:rPr>
        <w:t xml:space="preserve"> dans les </w:t>
      </w:r>
      <w:proofErr w:type="spellStart"/>
      <w:r w:rsidR="0040094C">
        <w:rPr>
          <w:sz w:val="18"/>
          <w:szCs w:val="18"/>
        </w:rPr>
        <w:t>villes</w:t>
      </w:r>
      <w:proofErr w:type="spellEnd"/>
      <w:r w:rsidR="0040094C">
        <w:rPr>
          <w:sz w:val="18"/>
          <w:szCs w:val="18"/>
        </w:rPr>
        <w:t xml:space="preserve"> du Midi à la fin du </w:t>
      </w:r>
      <w:proofErr w:type="spellStart"/>
      <w:r w:rsidR="0040094C">
        <w:rPr>
          <w:sz w:val="18"/>
          <w:szCs w:val="18"/>
        </w:rPr>
        <w:t>Moyen</w:t>
      </w:r>
      <w:proofErr w:type="spellEnd"/>
      <w:r w:rsidR="0040094C">
        <w:rPr>
          <w:sz w:val="18"/>
          <w:szCs w:val="18"/>
        </w:rPr>
        <w:t xml:space="preserve"> </w:t>
      </w:r>
      <w:proofErr w:type="spellStart"/>
      <w:r w:rsidR="0040094C">
        <w:rPr>
          <w:sz w:val="18"/>
          <w:szCs w:val="18"/>
        </w:rPr>
        <w:t>Âge</w:t>
      </w:r>
      <w:proofErr w:type="spellEnd"/>
      <w:r w:rsidR="0040094C">
        <w:rPr>
          <w:sz w:val="18"/>
          <w:szCs w:val="18"/>
        </w:rPr>
        <w:t xml:space="preserve"> </w:t>
      </w:r>
      <w:bookmarkStart w:id="10" w:name="_Hlk125044665"/>
      <w:r w:rsidR="0040094C" w:rsidRPr="0040094C">
        <w:rPr>
          <w:sz w:val="18"/>
          <w:szCs w:val="18"/>
        </w:rPr>
        <w:t>»</w:t>
      </w:r>
      <w:bookmarkEnd w:id="10"/>
      <w:r w:rsidRPr="00ED510A">
        <w:rPr>
          <w:sz w:val="18"/>
          <w:szCs w:val="18"/>
        </w:rPr>
        <w:t>,</w:t>
      </w:r>
      <w:r w:rsidR="0040094C">
        <w:rPr>
          <w:sz w:val="18"/>
          <w:szCs w:val="18"/>
        </w:rPr>
        <w:t xml:space="preserve"> </w:t>
      </w:r>
      <w:r w:rsidR="00F908EB">
        <w:rPr>
          <w:sz w:val="18"/>
          <w:szCs w:val="18"/>
        </w:rPr>
        <w:t xml:space="preserve">in </w:t>
      </w:r>
      <w:proofErr w:type="spellStart"/>
      <w:r w:rsidR="00F908EB">
        <w:rPr>
          <w:sz w:val="18"/>
          <w:szCs w:val="18"/>
        </w:rPr>
        <w:t>Carozzi</w:t>
      </w:r>
      <w:proofErr w:type="spellEnd"/>
      <w:r w:rsidR="00F908EB">
        <w:rPr>
          <w:sz w:val="18"/>
          <w:szCs w:val="18"/>
        </w:rPr>
        <w:t xml:space="preserve"> Claude, Le </w:t>
      </w:r>
      <w:proofErr w:type="spellStart"/>
      <w:r w:rsidR="00F908EB">
        <w:rPr>
          <w:sz w:val="18"/>
          <w:szCs w:val="18"/>
        </w:rPr>
        <w:t>Bleyec</w:t>
      </w:r>
      <w:proofErr w:type="spellEnd"/>
      <w:r w:rsidR="00F908EB">
        <w:rPr>
          <w:sz w:val="18"/>
          <w:szCs w:val="18"/>
        </w:rPr>
        <w:t xml:space="preserve"> Daniel and Taviani-</w:t>
      </w:r>
      <w:proofErr w:type="spellStart"/>
      <w:r w:rsidR="00F908EB">
        <w:rPr>
          <w:sz w:val="18"/>
          <w:szCs w:val="18"/>
        </w:rPr>
        <w:t>Carozzi</w:t>
      </w:r>
      <w:proofErr w:type="spellEnd"/>
      <w:r w:rsidR="00F908EB">
        <w:rPr>
          <w:sz w:val="18"/>
          <w:szCs w:val="18"/>
        </w:rPr>
        <w:t xml:space="preserve"> Huguette (eds.), </w:t>
      </w:r>
      <w:r w:rsidR="0040094C" w:rsidRPr="0040094C">
        <w:rPr>
          <w:i/>
          <w:iCs/>
          <w:sz w:val="18"/>
          <w:szCs w:val="18"/>
        </w:rPr>
        <w:t xml:space="preserve">Vivre </w:t>
      </w:r>
      <w:proofErr w:type="spellStart"/>
      <w:r w:rsidR="0040094C" w:rsidRPr="0040094C">
        <w:rPr>
          <w:i/>
          <w:iCs/>
          <w:sz w:val="18"/>
          <w:szCs w:val="18"/>
        </w:rPr>
        <w:t>en</w:t>
      </w:r>
      <w:proofErr w:type="spellEnd"/>
      <w:r w:rsidR="0040094C" w:rsidRPr="0040094C">
        <w:rPr>
          <w:i/>
          <w:iCs/>
          <w:sz w:val="18"/>
          <w:szCs w:val="18"/>
        </w:rPr>
        <w:t xml:space="preserve"> </w:t>
      </w:r>
      <w:proofErr w:type="spellStart"/>
      <w:r w:rsidR="0040094C" w:rsidRPr="0040094C">
        <w:rPr>
          <w:i/>
          <w:iCs/>
          <w:sz w:val="18"/>
          <w:szCs w:val="18"/>
        </w:rPr>
        <w:t>société</w:t>
      </w:r>
      <w:proofErr w:type="spellEnd"/>
      <w:r w:rsidR="0040094C" w:rsidRPr="0040094C">
        <w:rPr>
          <w:i/>
          <w:iCs/>
          <w:sz w:val="18"/>
          <w:szCs w:val="18"/>
        </w:rPr>
        <w:t xml:space="preserve"> au </w:t>
      </w:r>
      <w:proofErr w:type="spellStart"/>
      <w:r w:rsidR="0040094C" w:rsidRPr="0040094C">
        <w:rPr>
          <w:i/>
          <w:iCs/>
          <w:sz w:val="18"/>
          <w:szCs w:val="18"/>
        </w:rPr>
        <w:t>Moyen</w:t>
      </w:r>
      <w:proofErr w:type="spellEnd"/>
      <w:r w:rsidR="0040094C" w:rsidRPr="0040094C">
        <w:rPr>
          <w:i/>
          <w:iCs/>
          <w:sz w:val="18"/>
          <w:szCs w:val="18"/>
        </w:rPr>
        <w:t xml:space="preserve"> </w:t>
      </w:r>
      <w:proofErr w:type="spellStart"/>
      <w:proofErr w:type="gramStart"/>
      <w:r w:rsidR="0040094C" w:rsidRPr="0040094C">
        <w:rPr>
          <w:i/>
          <w:iCs/>
          <w:sz w:val="18"/>
          <w:szCs w:val="18"/>
        </w:rPr>
        <w:t>Âge</w:t>
      </w:r>
      <w:proofErr w:type="spellEnd"/>
      <w:r w:rsidR="0040094C" w:rsidRPr="0040094C">
        <w:rPr>
          <w:i/>
          <w:iCs/>
          <w:sz w:val="18"/>
          <w:szCs w:val="18"/>
        </w:rPr>
        <w:t xml:space="preserve"> :</w:t>
      </w:r>
      <w:proofErr w:type="gramEnd"/>
      <w:r w:rsidR="0040094C" w:rsidRPr="0040094C">
        <w:rPr>
          <w:i/>
          <w:iCs/>
          <w:sz w:val="18"/>
          <w:szCs w:val="18"/>
        </w:rPr>
        <w:t xml:space="preserve"> Occident </w:t>
      </w:r>
      <w:proofErr w:type="spellStart"/>
      <w:r w:rsidR="0040094C" w:rsidRPr="0040094C">
        <w:rPr>
          <w:i/>
          <w:iCs/>
          <w:sz w:val="18"/>
          <w:szCs w:val="18"/>
        </w:rPr>
        <w:t>chrétien</w:t>
      </w:r>
      <w:proofErr w:type="spellEnd"/>
      <w:r w:rsidR="0040094C" w:rsidRPr="0040094C">
        <w:rPr>
          <w:i/>
          <w:iCs/>
          <w:sz w:val="18"/>
          <w:szCs w:val="18"/>
        </w:rPr>
        <w:t xml:space="preserve"> </w:t>
      </w:r>
      <w:proofErr w:type="spellStart"/>
      <w:r w:rsidR="0040094C" w:rsidRPr="0040094C">
        <w:rPr>
          <w:i/>
          <w:iCs/>
          <w:sz w:val="18"/>
          <w:szCs w:val="18"/>
        </w:rPr>
        <w:t>VIe-XVe</w:t>
      </w:r>
      <w:proofErr w:type="spellEnd"/>
      <w:r w:rsidR="0040094C" w:rsidRPr="0040094C">
        <w:rPr>
          <w:i/>
          <w:iCs/>
          <w:sz w:val="18"/>
          <w:szCs w:val="18"/>
        </w:rPr>
        <w:t xml:space="preserve"> siècle</w:t>
      </w:r>
      <w:r w:rsidR="0040094C" w:rsidRPr="0040094C">
        <w:rPr>
          <w:sz w:val="18"/>
          <w:szCs w:val="18"/>
        </w:rPr>
        <w:t xml:space="preserve">, </w:t>
      </w:r>
      <w:r w:rsidR="0040094C">
        <w:rPr>
          <w:sz w:val="18"/>
          <w:szCs w:val="18"/>
        </w:rPr>
        <w:t xml:space="preserve">Aix-en-Provence, </w:t>
      </w:r>
      <w:r w:rsidR="0040094C" w:rsidRPr="0040094C">
        <w:rPr>
          <w:sz w:val="18"/>
          <w:szCs w:val="18"/>
        </w:rPr>
        <w:t>2008,</w:t>
      </w:r>
      <w:r w:rsidRPr="00ED510A">
        <w:rPr>
          <w:sz w:val="18"/>
          <w:szCs w:val="18"/>
        </w:rPr>
        <w:t xml:space="preserve"> p. 289.</w:t>
      </w:r>
    </w:p>
  </w:footnote>
  <w:footnote w:id="17">
    <w:p w14:paraId="00000039" w14:textId="24354F69" w:rsidR="00B31570" w:rsidRPr="00ED510A" w:rsidRDefault="00000000">
      <w:pPr>
        <w:spacing w:line="240" w:lineRule="auto"/>
        <w:ind w:firstLine="0"/>
        <w:rPr>
          <w:sz w:val="18"/>
          <w:szCs w:val="18"/>
        </w:rPr>
      </w:pPr>
      <w:r w:rsidRPr="00ED510A">
        <w:rPr>
          <w:sz w:val="18"/>
          <w:szCs w:val="18"/>
          <w:vertAlign w:val="superscript"/>
        </w:rPr>
        <w:footnoteRef/>
      </w:r>
      <w:r w:rsidRPr="00ED510A">
        <w:rPr>
          <w:sz w:val="18"/>
          <w:szCs w:val="18"/>
        </w:rPr>
        <w:t xml:space="preserve"> Rawcliffe</w:t>
      </w:r>
      <w:r w:rsidR="00975818">
        <w:rPr>
          <w:sz w:val="18"/>
          <w:szCs w:val="18"/>
        </w:rPr>
        <w:t xml:space="preserve"> Carole</w:t>
      </w:r>
      <w:r w:rsidRPr="00ED510A">
        <w:rPr>
          <w:sz w:val="18"/>
          <w:szCs w:val="18"/>
        </w:rPr>
        <w:t xml:space="preserve">, </w:t>
      </w:r>
      <w:r w:rsidRPr="00ED510A">
        <w:rPr>
          <w:i/>
          <w:sz w:val="18"/>
          <w:szCs w:val="18"/>
        </w:rPr>
        <w:t>Leprosy in Medieval England</w:t>
      </w:r>
      <w:r w:rsidRPr="00ED510A">
        <w:rPr>
          <w:sz w:val="18"/>
          <w:szCs w:val="18"/>
        </w:rPr>
        <w:t>,</w:t>
      </w:r>
      <w:r w:rsidR="00975818">
        <w:rPr>
          <w:sz w:val="18"/>
          <w:szCs w:val="18"/>
        </w:rPr>
        <w:t xml:space="preserve"> Woodbridge, 2006, </w:t>
      </w:r>
      <w:r w:rsidRPr="00ED510A">
        <w:rPr>
          <w:sz w:val="18"/>
          <w:szCs w:val="18"/>
        </w:rPr>
        <w:t>p. 303 (example of the Dover hospital).</w:t>
      </w:r>
    </w:p>
  </w:footnote>
  <w:footnote w:id="18">
    <w:p w14:paraId="0000003A" w14:textId="4AFA8285" w:rsidR="00B31570" w:rsidRPr="00ED510A" w:rsidRDefault="00000000">
      <w:pPr>
        <w:spacing w:line="240" w:lineRule="auto"/>
        <w:ind w:firstLine="0"/>
        <w:rPr>
          <w:sz w:val="18"/>
          <w:szCs w:val="18"/>
        </w:rPr>
      </w:pPr>
      <w:r w:rsidRPr="00ED510A">
        <w:rPr>
          <w:sz w:val="18"/>
          <w:szCs w:val="18"/>
          <w:vertAlign w:val="superscript"/>
        </w:rPr>
        <w:footnoteRef/>
      </w:r>
      <w:r w:rsidRPr="00ED510A">
        <w:rPr>
          <w:sz w:val="18"/>
          <w:szCs w:val="18"/>
        </w:rPr>
        <w:t xml:space="preserve"> A.E.L. (</w:t>
      </w:r>
      <w:r w:rsidRPr="00ED510A">
        <w:rPr>
          <w:i/>
          <w:sz w:val="18"/>
          <w:szCs w:val="18"/>
        </w:rPr>
        <w:t xml:space="preserve">Archives de </w:t>
      </w:r>
      <w:proofErr w:type="spellStart"/>
      <w:r w:rsidRPr="00ED510A">
        <w:rPr>
          <w:i/>
          <w:sz w:val="18"/>
          <w:szCs w:val="18"/>
        </w:rPr>
        <w:t>l’état</w:t>
      </w:r>
      <w:proofErr w:type="spellEnd"/>
      <w:r w:rsidRPr="00ED510A">
        <w:rPr>
          <w:i/>
          <w:sz w:val="18"/>
          <w:szCs w:val="18"/>
        </w:rPr>
        <w:t xml:space="preserve"> à Liège</w:t>
      </w:r>
      <w:r w:rsidRPr="00ED510A">
        <w:rPr>
          <w:sz w:val="18"/>
          <w:szCs w:val="18"/>
        </w:rPr>
        <w:t xml:space="preserve">, State Archives in Liege), </w:t>
      </w:r>
      <w:proofErr w:type="spellStart"/>
      <w:r w:rsidRPr="00ED510A">
        <w:rPr>
          <w:i/>
          <w:sz w:val="18"/>
          <w:szCs w:val="18"/>
          <w:highlight w:val="white"/>
        </w:rPr>
        <w:t>Léproserie</w:t>
      </w:r>
      <w:proofErr w:type="spellEnd"/>
      <w:r w:rsidRPr="00ED510A">
        <w:rPr>
          <w:i/>
          <w:sz w:val="18"/>
          <w:szCs w:val="18"/>
          <w:highlight w:val="white"/>
        </w:rPr>
        <w:t xml:space="preserve"> de </w:t>
      </w:r>
      <w:proofErr w:type="spellStart"/>
      <w:r w:rsidRPr="00ED510A">
        <w:rPr>
          <w:i/>
          <w:sz w:val="18"/>
          <w:szCs w:val="18"/>
          <w:highlight w:val="white"/>
        </w:rPr>
        <w:t>Cornillon</w:t>
      </w:r>
      <w:proofErr w:type="spellEnd"/>
      <w:r w:rsidRPr="00ED510A">
        <w:rPr>
          <w:i/>
          <w:sz w:val="18"/>
          <w:szCs w:val="18"/>
          <w:highlight w:val="white"/>
        </w:rPr>
        <w:t>,</w:t>
      </w:r>
      <w:r w:rsidRPr="00ED510A">
        <w:rPr>
          <w:sz w:val="18"/>
          <w:szCs w:val="18"/>
        </w:rPr>
        <w:t xml:space="preserve"> </w:t>
      </w:r>
      <w:r w:rsidR="00862DC3" w:rsidRPr="0040094C">
        <w:rPr>
          <w:sz w:val="18"/>
          <w:szCs w:val="18"/>
        </w:rPr>
        <w:t>«</w:t>
      </w:r>
      <w:r w:rsidR="00862DC3">
        <w:rPr>
          <w:sz w:val="18"/>
          <w:szCs w:val="18"/>
        </w:rPr>
        <w:t xml:space="preserve"> </w:t>
      </w:r>
      <w:proofErr w:type="spellStart"/>
      <w:r w:rsidRPr="00ED510A">
        <w:rPr>
          <w:sz w:val="18"/>
          <w:szCs w:val="18"/>
        </w:rPr>
        <w:t>cens</w:t>
      </w:r>
      <w:proofErr w:type="spellEnd"/>
      <w:r w:rsidRPr="00ED510A">
        <w:rPr>
          <w:sz w:val="18"/>
          <w:szCs w:val="18"/>
        </w:rPr>
        <w:t>, rents and other income</w:t>
      </w:r>
      <w:r w:rsidR="00862DC3">
        <w:rPr>
          <w:sz w:val="18"/>
          <w:szCs w:val="18"/>
        </w:rPr>
        <w:t xml:space="preserve"> </w:t>
      </w:r>
      <w:r w:rsidR="00862DC3" w:rsidRPr="0040094C">
        <w:rPr>
          <w:sz w:val="18"/>
          <w:szCs w:val="18"/>
        </w:rPr>
        <w:t>»</w:t>
      </w:r>
      <w:r w:rsidRPr="00ED510A">
        <w:rPr>
          <w:sz w:val="18"/>
          <w:szCs w:val="18"/>
        </w:rPr>
        <w:t xml:space="preserve"> (29 reg., 1339-1600); “personal accounts” (2 reg., more than 350 </w:t>
      </w:r>
      <w:proofErr w:type="spellStart"/>
      <w:r w:rsidRPr="00ED510A">
        <w:rPr>
          <w:sz w:val="18"/>
          <w:szCs w:val="18"/>
        </w:rPr>
        <w:t>folii</w:t>
      </w:r>
      <w:proofErr w:type="spellEnd"/>
      <w:r w:rsidRPr="00ED510A">
        <w:rPr>
          <w:sz w:val="18"/>
          <w:szCs w:val="18"/>
        </w:rPr>
        <w:t>, 1586-1600).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35" w14:textId="77777777" w:rsidR="00B31570" w:rsidRDefault="00000000">
    <w:pPr>
      <w:ind w:firstLine="0"/>
      <w:rPr>
        <w:sz w:val="18"/>
        <w:szCs w:val="18"/>
      </w:rPr>
    </w:pPr>
    <w:r>
      <w:rPr>
        <w:sz w:val="18"/>
        <w:szCs w:val="18"/>
      </w:rPr>
      <w:t xml:space="preserve">Joint Session Proposal, L. Delaune, N. Dubourg, M. </w:t>
    </w:r>
    <w:proofErr w:type="spellStart"/>
    <w:r>
      <w:rPr>
        <w:sz w:val="18"/>
        <w:szCs w:val="18"/>
      </w:rPr>
      <w:t>Kateb</w:t>
    </w:r>
    <w:proofErr w:type="spellEnd"/>
    <w:r>
      <w:rPr>
        <w:sz w:val="18"/>
        <w:szCs w:val="18"/>
      </w:rPr>
      <w:t xml:space="preserve">, A. </w:t>
    </w:r>
    <w:proofErr w:type="spellStart"/>
    <w:r>
      <w:rPr>
        <w:sz w:val="18"/>
        <w:szCs w:val="18"/>
      </w:rPr>
      <w:t>Mirbeau</w:t>
    </w:r>
    <w:proofErr w:type="spellEnd"/>
    <w:r>
      <w:rPr>
        <w:sz w:val="18"/>
        <w:szCs w:val="18"/>
      </w:rPr>
      <w:t>.</w:t>
    </w:r>
  </w:p>
  <w:p w14:paraId="00000036" w14:textId="77777777" w:rsidR="00B31570" w:rsidRDefault="00000000">
    <w:pPr>
      <w:ind w:firstLine="0"/>
      <w:rPr>
        <w:b/>
        <w:i/>
        <w:sz w:val="26"/>
        <w:szCs w:val="26"/>
      </w:rPr>
    </w:pPr>
    <w:r>
      <w:rPr>
        <w:i/>
        <w:sz w:val="18"/>
        <w:szCs w:val="18"/>
      </w:rPr>
      <w:t>Protection, autonomy, emancipation. The counterpoint of medieval studies on disability</w:t>
    </w:r>
  </w:p>
  <w:p w14:paraId="00000037" w14:textId="77777777" w:rsidR="00B31570" w:rsidRDefault="00B31570">
    <w:pPr>
      <w:rPr>
        <w:b/>
        <w:sz w:val="26"/>
        <w:szCs w:val="2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570"/>
    <w:rsid w:val="0040094C"/>
    <w:rsid w:val="00417D8F"/>
    <w:rsid w:val="00565E9F"/>
    <w:rsid w:val="00832D94"/>
    <w:rsid w:val="00862DC3"/>
    <w:rsid w:val="00975818"/>
    <w:rsid w:val="00AC7ED2"/>
    <w:rsid w:val="00B3138E"/>
    <w:rsid w:val="00B31570"/>
    <w:rsid w:val="00EB278A"/>
    <w:rsid w:val="00ED510A"/>
    <w:rsid w:val="00F908E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278951"/>
  <w15:docId w15:val="{6A7BED23-8F10-4C75-AAE8-81CD84310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fr-FR" w:bidi="ar-SA"/>
      </w:rPr>
    </w:rPrDefault>
    <w:pPrDefault>
      <w:pPr>
        <w:spacing w:after="40" w:line="276" w:lineRule="auto"/>
        <w:ind w:firstLine="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uiPriority w:val="9"/>
    <w:qFormat/>
    <w:pPr>
      <w:keepNext/>
      <w:keepLines/>
      <w:spacing w:before="400" w:after="120"/>
      <w:outlineLvl w:val="0"/>
    </w:pPr>
    <w:rPr>
      <w:sz w:val="40"/>
      <w:szCs w:val="40"/>
    </w:rPr>
  </w:style>
  <w:style w:type="paragraph" w:styleId="Titre2">
    <w:name w:val="heading 2"/>
    <w:basedOn w:val="Normal"/>
    <w:next w:val="Normal"/>
    <w:uiPriority w:val="9"/>
    <w:unhideWhenUsed/>
    <w:qFormat/>
    <w:pPr>
      <w:keepNext/>
      <w:keepLines/>
      <w:spacing w:before="360" w:after="120"/>
      <w:outlineLvl w:val="1"/>
    </w:pPr>
    <w:rPr>
      <w:sz w:val="32"/>
      <w:szCs w:val="32"/>
    </w:rPr>
  </w:style>
  <w:style w:type="paragraph" w:styleId="Titre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itre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itre5">
    <w:name w:val="heading 5"/>
    <w:basedOn w:val="Normal"/>
    <w:next w:val="Normal"/>
    <w:uiPriority w:val="9"/>
    <w:semiHidden/>
    <w:unhideWhenUsed/>
    <w:qFormat/>
    <w:pPr>
      <w:keepNext/>
      <w:keepLines/>
      <w:spacing w:before="240" w:after="80"/>
      <w:outlineLvl w:val="4"/>
    </w:pPr>
    <w:rPr>
      <w:color w:val="666666"/>
    </w:rPr>
  </w:style>
  <w:style w:type="paragraph" w:styleId="Titre6">
    <w:name w:val="heading 6"/>
    <w:basedOn w:val="Normal"/>
    <w:next w:val="Normal"/>
    <w:uiPriority w:val="9"/>
    <w:semiHidden/>
    <w:unhideWhenUsed/>
    <w:qFormat/>
    <w:pPr>
      <w:keepNext/>
      <w:keepLines/>
      <w:spacing w:before="240" w:after="80"/>
      <w:outlineLvl w:val="5"/>
    </w:pPr>
    <w:rPr>
      <w:i/>
      <w:color w:val="66666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uiPriority w:val="10"/>
    <w:qFormat/>
    <w:pPr>
      <w:keepNext/>
      <w:keepLines/>
      <w:spacing w:after="60"/>
    </w:pPr>
    <w:rPr>
      <w:sz w:val="52"/>
      <w:szCs w:val="52"/>
    </w:rPr>
  </w:style>
  <w:style w:type="paragraph" w:styleId="Sous-titre">
    <w:name w:val="Subtitle"/>
    <w:basedOn w:val="Normal"/>
    <w:next w:val="Normal"/>
    <w:uiPriority w:val="11"/>
    <w:qFormat/>
    <w:pPr>
      <w:keepNext/>
      <w:keepLines/>
      <w:spacing w:after="320"/>
    </w:pPr>
    <w:rPr>
      <w:rFonts w:ascii="Arial" w:eastAsia="Arial" w:hAnsi="Arial" w:cs="Arial"/>
      <w:color w:val="666666"/>
      <w:sz w:val="30"/>
      <w:szCs w:val="30"/>
    </w:rPr>
  </w:style>
  <w:style w:type="paragraph" w:styleId="Commentaire">
    <w:name w:val="annotation text"/>
    <w:basedOn w:val="Normal"/>
    <w:link w:val="CommentaireCar"/>
    <w:uiPriority w:val="99"/>
    <w:semiHidden/>
    <w:unhideWhenUsed/>
    <w:pPr>
      <w:spacing w:line="240" w:lineRule="auto"/>
    </w:pPr>
    <w:rPr>
      <w:sz w:val="20"/>
      <w:szCs w:val="20"/>
    </w:rPr>
  </w:style>
  <w:style w:type="character" w:customStyle="1" w:styleId="CommentaireCar">
    <w:name w:val="Commentaire Car"/>
    <w:basedOn w:val="Policepardfaut"/>
    <w:link w:val="Commentaire"/>
    <w:uiPriority w:val="99"/>
    <w:semiHidden/>
    <w:rPr>
      <w:sz w:val="20"/>
      <w:szCs w:val="20"/>
    </w:rPr>
  </w:style>
  <w:style w:type="character" w:styleId="Marquedecommentaire">
    <w:name w:val="annotation reference"/>
    <w:basedOn w:val="Policepardfaut"/>
    <w:uiPriority w:val="99"/>
    <w:semiHidden/>
    <w:unhideWhenUsed/>
    <w:rPr>
      <w:sz w:val="16"/>
      <w:szCs w:val="16"/>
    </w:rPr>
  </w:style>
  <w:style w:type="paragraph" w:styleId="En-tte">
    <w:name w:val="header"/>
    <w:basedOn w:val="Normal"/>
    <w:link w:val="En-tteCar"/>
    <w:uiPriority w:val="99"/>
    <w:unhideWhenUsed/>
    <w:rsid w:val="00ED510A"/>
    <w:pPr>
      <w:tabs>
        <w:tab w:val="center" w:pos="4536"/>
        <w:tab w:val="right" w:pos="9072"/>
      </w:tabs>
      <w:spacing w:after="0" w:line="240" w:lineRule="auto"/>
    </w:pPr>
  </w:style>
  <w:style w:type="character" w:customStyle="1" w:styleId="En-tteCar">
    <w:name w:val="En-tête Car"/>
    <w:basedOn w:val="Policepardfaut"/>
    <w:link w:val="En-tte"/>
    <w:uiPriority w:val="99"/>
    <w:rsid w:val="00ED510A"/>
  </w:style>
  <w:style w:type="paragraph" w:styleId="Pieddepage">
    <w:name w:val="footer"/>
    <w:basedOn w:val="Normal"/>
    <w:link w:val="PieddepageCar"/>
    <w:uiPriority w:val="99"/>
    <w:unhideWhenUsed/>
    <w:rsid w:val="00ED510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D51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diglib.uibk.ac.at/download/pdf/7323860.pdf" TargetMode="External"/><Relationship Id="rId1" Type="http://schemas.openxmlformats.org/officeDocument/2006/relationships/hyperlink" Target="http://www.menestrel.fr/?-Handicap-&amp;lang=f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6</Pages>
  <Words>2596</Words>
  <Characters>14278</Characters>
  <Application>Microsoft Office Word</Application>
  <DocSecurity>0</DocSecurity>
  <Lines>118</Lines>
  <Paragraphs>33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Ninon Dubourg</cp:lastModifiedBy>
  <cp:revision>6</cp:revision>
  <dcterms:created xsi:type="dcterms:W3CDTF">2023-01-19T16:48:00Z</dcterms:created>
  <dcterms:modified xsi:type="dcterms:W3CDTF">2023-01-20T09:05:00Z</dcterms:modified>
</cp:coreProperties>
</file>