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CB85" w14:textId="57E2394A" w:rsidR="008771A4" w:rsidRPr="008771A4" w:rsidRDefault="008771A4" w:rsidP="008771A4">
      <w:pPr>
        <w:jc w:val="both"/>
        <w:rPr>
          <w:rFonts w:asciiTheme="majorHAnsi" w:eastAsia="Times New Roman" w:hAnsiTheme="majorHAnsi" w:cstheme="majorHAnsi"/>
          <w:b/>
          <w:bCs/>
          <w:lang w:eastAsia="fr-FR"/>
        </w:rPr>
      </w:pPr>
      <w:r w:rsidRPr="008771A4">
        <w:rPr>
          <w:rFonts w:asciiTheme="majorHAnsi" w:eastAsia="Times New Roman" w:hAnsiTheme="majorHAnsi" w:cstheme="majorHAnsi"/>
          <w:b/>
          <w:bCs/>
          <w:lang w:eastAsia="fr-FR"/>
        </w:rPr>
        <w:t>VIOLENCES FAITES AUX FEMMES EN SITUATION DE HANDICAP : UNE PERSPECTIVE OCCUPATIONNELLE SUR LA TRAJECTOIRE DE SORTIE</w:t>
      </w:r>
      <w:r>
        <w:rPr>
          <w:rFonts w:asciiTheme="majorHAnsi" w:eastAsia="Times New Roman" w:hAnsiTheme="majorHAnsi" w:cstheme="majorHAnsi"/>
          <w:b/>
          <w:bCs/>
          <w:lang w:eastAsia="fr-FR"/>
        </w:rPr>
        <w:t xml:space="preserve">. </w:t>
      </w:r>
    </w:p>
    <w:p w14:paraId="3DBE12C8" w14:textId="65EB632B" w:rsidR="00F44216" w:rsidRDefault="00F44216" w:rsidP="00D846B6">
      <w:pPr>
        <w:jc w:val="both"/>
        <w:rPr>
          <w:rFonts w:asciiTheme="majorHAnsi" w:eastAsia="Times New Roman" w:hAnsiTheme="majorHAnsi" w:cstheme="majorHAnsi"/>
          <w:lang w:eastAsia="fr-FR"/>
        </w:rPr>
      </w:pPr>
    </w:p>
    <w:p w14:paraId="188B517C" w14:textId="1A93DA3C" w:rsidR="00E50C1C" w:rsidRPr="00084A89" w:rsidRDefault="00E50C1C">
      <w:pPr>
        <w:rPr>
          <w:rFonts w:asciiTheme="majorHAnsi" w:hAnsiTheme="majorHAnsi" w:cstheme="majorHAnsi"/>
          <w:b/>
          <w:bCs/>
          <w:lang w:val="fr-CA"/>
        </w:rPr>
      </w:pPr>
      <w:r w:rsidRPr="00084A89">
        <w:rPr>
          <w:rFonts w:asciiTheme="majorHAnsi" w:hAnsiTheme="majorHAnsi" w:cstheme="majorHAnsi"/>
          <w:b/>
          <w:bCs/>
          <w:lang w:val="fr-CA"/>
        </w:rPr>
        <w:t xml:space="preserve">Références indicatives </w:t>
      </w:r>
    </w:p>
    <w:p w14:paraId="788471CB" w14:textId="77777777" w:rsidR="00084A89" w:rsidRPr="0012768B" w:rsidRDefault="00084A89" w:rsidP="00084A89">
      <w:pPr>
        <w:rPr>
          <w:rFonts w:asciiTheme="majorHAnsi" w:hAnsiTheme="majorHAnsi" w:cstheme="majorHAnsi"/>
        </w:rPr>
      </w:pPr>
    </w:p>
    <w:p w14:paraId="670A4874" w14:textId="77777777" w:rsidR="00084A89" w:rsidRPr="00084A89" w:rsidRDefault="00084A89" w:rsidP="00084A89">
      <w:pPr>
        <w:spacing w:after="160" w:line="259" w:lineRule="auto"/>
        <w:ind w:left="567" w:hanging="567"/>
        <w:jc w:val="both"/>
        <w:rPr>
          <w:rFonts w:asciiTheme="majorHAnsi" w:hAnsiTheme="majorHAnsi" w:cstheme="majorHAnsi"/>
          <w:lang w:val="en-US"/>
        </w:rPr>
      </w:pPr>
      <w:r w:rsidRPr="00084A89">
        <w:rPr>
          <w:rFonts w:asciiTheme="majorHAnsi" w:hAnsiTheme="majorHAnsi" w:cstheme="majorHAnsi"/>
          <w:lang w:val="en-US"/>
        </w:rPr>
        <w:t xml:space="preserve">Ballan, M.S. &amp; </w:t>
      </w:r>
      <w:proofErr w:type="spellStart"/>
      <w:r w:rsidRPr="00084A89">
        <w:rPr>
          <w:rFonts w:asciiTheme="majorHAnsi" w:hAnsiTheme="majorHAnsi" w:cstheme="majorHAnsi"/>
          <w:lang w:val="en-US"/>
        </w:rPr>
        <w:t>Freyer</w:t>
      </w:r>
      <w:proofErr w:type="spellEnd"/>
      <w:r w:rsidRPr="00084A89">
        <w:rPr>
          <w:rFonts w:asciiTheme="majorHAnsi" w:hAnsiTheme="majorHAnsi" w:cstheme="majorHAnsi"/>
          <w:lang w:val="en-US"/>
        </w:rPr>
        <w:t xml:space="preserve">, M. (2022). Supporting the Housing Needs of Domestic Violence Shelter Residents: Considerations for Survivors </w:t>
      </w:r>
      <w:proofErr w:type="gramStart"/>
      <w:r w:rsidRPr="00084A89">
        <w:rPr>
          <w:rFonts w:asciiTheme="majorHAnsi" w:hAnsiTheme="majorHAnsi" w:cstheme="majorHAnsi"/>
          <w:lang w:val="en-US"/>
        </w:rPr>
        <w:t>With</w:t>
      </w:r>
      <w:proofErr w:type="gramEnd"/>
      <w:r w:rsidRPr="00084A89">
        <w:rPr>
          <w:rFonts w:asciiTheme="majorHAnsi" w:hAnsiTheme="majorHAnsi" w:cstheme="majorHAnsi"/>
          <w:lang w:val="en-US"/>
        </w:rPr>
        <w:t xml:space="preserve"> and Without Disabilities, Housing Policy Debate, DOI: </w:t>
      </w:r>
      <w:hyperlink r:id="rId8" w:history="1">
        <w:r w:rsidRPr="00084A89">
          <w:rPr>
            <w:rFonts w:asciiTheme="majorHAnsi" w:hAnsiTheme="majorHAnsi" w:cstheme="majorHAnsi"/>
            <w:lang w:val="en-US"/>
          </w:rPr>
          <w:t>10.1080/10511482.2022.2125336</w:t>
        </w:r>
      </w:hyperlink>
      <w:r w:rsidRPr="00084A89">
        <w:rPr>
          <w:rFonts w:asciiTheme="majorHAnsi" w:hAnsiTheme="majorHAnsi" w:cstheme="majorHAnsi"/>
          <w:lang w:val="en-US"/>
        </w:rPr>
        <w:t xml:space="preserve"> </w:t>
      </w:r>
    </w:p>
    <w:p w14:paraId="49750305" w14:textId="108A7C69" w:rsidR="00084A89" w:rsidRPr="0012768B" w:rsidRDefault="00930518" w:rsidP="00084A89">
      <w:pPr>
        <w:spacing w:after="160" w:line="259" w:lineRule="auto"/>
        <w:ind w:left="567" w:hanging="567"/>
        <w:jc w:val="both"/>
        <w:rPr>
          <w:rFonts w:asciiTheme="majorHAnsi" w:hAnsiTheme="majorHAnsi" w:cstheme="majorHAnsi"/>
          <w:lang w:val="en-US"/>
        </w:rPr>
      </w:pPr>
      <w:r w:rsidRPr="00084A89">
        <w:rPr>
          <w:rFonts w:asciiTheme="majorHAnsi" w:hAnsiTheme="majorHAnsi" w:cstheme="majorHAnsi"/>
          <w:lang w:val="en-US"/>
        </w:rPr>
        <w:t xml:space="preserve">Ballan, M.S. &amp; </w:t>
      </w:r>
      <w:proofErr w:type="spellStart"/>
      <w:r w:rsidRPr="00084A89">
        <w:rPr>
          <w:rFonts w:asciiTheme="majorHAnsi" w:hAnsiTheme="majorHAnsi" w:cstheme="majorHAnsi"/>
          <w:lang w:val="en-US"/>
        </w:rPr>
        <w:t>Freyer</w:t>
      </w:r>
      <w:proofErr w:type="spellEnd"/>
      <w:r w:rsidRPr="00084A89">
        <w:rPr>
          <w:rFonts w:asciiTheme="majorHAnsi" w:hAnsiTheme="majorHAnsi" w:cstheme="majorHAnsi"/>
          <w:lang w:val="en-US"/>
        </w:rPr>
        <w:t xml:space="preserve">, M. (2020). Occupational Deprivation Among Female Survivors of Intimate Partner Violence Who Have Physical Disabilities. </w:t>
      </w:r>
      <w:r w:rsidRPr="0012768B">
        <w:rPr>
          <w:rFonts w:asciiTheme="majorHAnsi" w:hAnsiTheme="majorHAnsi" w:cstheme="majorHAnsi"/>
          <w:i/>
          <w:iCs/>
          <w:lang w:val="en-US"/>
        </w:rPr>
        <w:t xml:space="preserve">American Journal of Occupational Therapy, 74 </w:t>
      </w:r>
      <w:r w:rsidRPr="0012768B">
        <w:rPr>
          <w:rFonts w:asciiTheme="majorHAnsi" w:hAnsiTheme="majorHAnsi" w:cstheme="majorHAnsi"/>
          <w:lang w:val="en-US"/>
        </w:rPr>
        <w:t xml:space="preserve">(4), 7 </w:t>
      </w:r>
    </w:p>
    <w:p w14:paraId="73E69365" w14:textId="56405E87" w:rsidR="002C25A7" w:rsidRPr="00084A89" w:rsidRDefault="002C25A7" w:rsidP="002C25A7">
      <w:pPr>
        <w:spacing w:after="160" w:line="259" w:lineRule="auto"/>
        <w:ind w:left="567" w:hanging="567"/>
        <w:jc w:val="both"/>
        <w:rPr>
          <w:rFonts w:asciiTheme="majorHAnsi" w:hAnsiTheme="majorHAnsi" w:cstheme="majorHAnsi"/>
          <w:lang w:val="en-US"/>
        </w:rPr>
      </w:pPr>
      <w:proofErr w:type="spellStart"/>
      <w:r w:rsidRPr="00084A89">
        <w:rPr>
          <w:rFonts w:asciiTheme="majorHAnsi" w:hAnsiTheme="majorHAnsi" w:cstheme="majorHAnsi"/>
          <w:lang w:val="en-US"/>
        </w:rPr>
        <w:t>Breiding</w:t>
      </w:r>
      <w:proofErr w:type="spellEnd"/>
      <w:r w:rsidRPr="00084A89">
        <w:rPr>
          <w:rFonts w:asciiTheme="majorHAnsi" w:hAnsiTheme="majorHAnsi" w:cstheme="majorHAnsi"/>
          <w:lang w:val="en-US"/>
        </w:rPr>
        <w:t xml:space="preserve">, M. J., Basile, K. C., Smith, S. G., Black, M. C., &amp; </w:t>
      </w:r>
      <w:proofErr w:type="spellStart"/>
      <w:r w:rsidRPr="00084A89">
        <w:rPr>
          <w:rFonts w:asciiTheme="majorHAnsi" w:hAnsiTheme="majorHAnsi" w:cstheme="majorHAnsi"/>
          <w:lang w:val="en-US"/>
        </w:rPr>
        <w:t>Mahendra</w:t>
      </w:r>
      <w:proofErr w:type="spellEnd"/>
      <w:r w:rsidRPr="00084A89">
        <w:rPr>
          <w:rFonts w:asciiTheme="majorHAnsi" w:hAnsiTheme="majorHAnsi" w:cstheme="majorHAnsi"/>
          <w:lang w:val="en-US"/>
        </w:rPr>
        <w:t xml:space="preserve">, R. (2015). Intimate partner violence surveillance: Uniform definitions and recommended data elements. Atlanta: National Center for Injury Prevention and Control, Centers for Disease Control and Prevention. </w:t>
      </w:r>
    </w:p>
    <w:p w14:paraId="710F52C0" w14:textId="09D89E5F" w:rsidR="002C25A7" w:rsidRPr="00084A89" w:rsidRDefault="002C25A7" w:rsidP="002C25A7">
      <w:pPr>
        <w:spacing w:after="160" w:line="259" w:lineRule="auto"/>
        <w:ind w:left="567" w:hanging="567"/>
        <w:jc w:val="both"/>
        <w:rPr>
          <w:rFonts w:asciiTheme="majorHAnsi" w:hAnsiTheme="majorHAnsi" w:cstheme="majorHAnsi"/>
        </w:rPr>
      </w:pPr>
      <w:r w:rsidRPr="00084A89">
        <w:rPr>
          <w:rFonts w:asciiTheme="majorHAnsi" w:hAnsiTheme="majorHAnsi" w:cstheme="majorHAnsi"/>
        </w:rPr>
        <w:t xml:space="preserve">INEEI-PSH (2021). A propos – Missions, valeurs et mandat. </w:t>
      </w:r>
      <w:proofErr w:type="spellStart"/>
      <w:r w:rsidRPr="00084A89">
        <w:rPr>
          <w:rFonts w:asciiTheme="majorHAnsi" w:hAnsiTheme="majorHAnsi" w:cstheme="majorHAnsi"/>
        </w:rPr>
        <w:t>Récupére</w:t>
      </w:r>
      <w:proofErr w:type="spellEnd"/>
      <w:r w:rsidRPr="00084A89">
        <w:rPr>
          <w:rFonts w:asciiTheme="majorHAnsi" w:hAnsiTheme="majorHAnsi" w:cstheme="majorHAnsi"/>
        </w:rPr>
        <w:t xml:space="preserve">́ de : </w:t>
      </w:r>
      <w:hyperlink r:id="rId9" w:history="1">
        <w:r w:rsidRPr="00084A89">
          <w:rPr>
            <w:rStyle w:val="Lienhypertexte"/>
            <w:rFonts w:asciiTheme="majorHAnsi" w:hAnsiTheme="majorHAnsi" w:cstheme="majorHAnsi"/>
          </w:rPr>
          <w:t>https://ineeipsh.org/mission/</w:t>
        </w:r>
      </w:hyperlink>
      <w:r w:rsidRPr="00084A89">
        <w:rPr>
          <w:rFonts w:asciiTheme="majorHAnsi" w:hAnsiTheme="majorHAnsi" w:cstheme="majorHAnsi"/>
        </w:rPr>
        <w:t xml:space="preserve"> </w:t>
      </w:r>
    </w:p>
    <w:p w14:paraId="7745F069" w14:textId="5124EBAC" w:rsidR="00930518" w:rsidRPr="0012768B" w:rsidRDefault="00930518" w:rsidP="00930518">
      <w:pPr>
        <w:spacing w:after="160" w:line="259" w:lineRule="auto"/>
        <w:ind w:left="567" w:hanging="567"/>
        <w:jc w:val="both"/>
        <w:rPr>
          <w:rFonts w:asciiTheme="majorHAnsi" w:hAnsiTheme="majorHAnsi" w:cstheme="majorHAnsi"/>
          <w:lang w:val="en-US"/>
        </w:rPr>
      </w:pPr>
      <w:r w:rsidRPr="00084A89">
        <w:rPr>
          <w:rFonts w:asciiTheme="majorHAnsi" w:hAnsiTheme="majorHAnsi" w:cstheme="majorHAnsi"/>
          <w:lang w:val="en-US"/>
        </w:rPr>
        <w:t xml:space="preserve">Lindsay, S., King, G., Klassen, A., </w:t>
      </w:r>
      <w:proofErr w:type="spellStart"/>
      <w:r w:rsidRPr="00084A89">
        <w:rPr>
          <w:rFonts w:asciiTheme="majorHAnsi" w:hAnsiTheme="majorHAnsi" w:cstheme="majorHAnsi"/>
          <w:lang w:val="en-US"/>
        </w:rPr>
        <w:t>Esses</w:t>
      </w:r>
      <w:proofErr w:type="spellEnd"/>
      <w:r w:rsidRPr="00084A89">
        <w:rPr>
          <w:rFonts w:asciiTheme="majorHAnsi" w:hAnsiTheme="majorHAnsi" w:cstheme="majorHAnsi"/>
          <w:lang w:val="en-US"/>
        </w:rPr>
        <w:t xml:space="preserve">, V., &amp; </w:t>
      </w:r>
      <w:proofErr w:type="spellStart"/>
      <w:r w:rsidRPr="00084A89">
        <w:rPr>
          <w:rFonts w:asciiTheme="majorHAnsi" w:hAnsiTheme="majorHAnsi" w:cstheme="majorHAnsi"/>
          <w:lang w:val="en-US"/>
        </w:rPr>
        <w:t>Stachel</w:t>
      </w:r>
      <w:proofErr w:type="spellEnd"/>
      <w:r w:rsidRPr="00084A89">
        <w:rPr>
          <w:rFonts w:asciiTheme="majorHAnsi" w:hAnsiTheme="majorHAnsi" w:cstheme="majorHAnsi"/>
          <w:lang w:val="en-US"/>
        </w:rPr>
        <w:t>, M. (2012). Health care providers’ perceptions of working with immigrant families raising a child with a disability: Implications for practice. Disability and Rehabilitation, 34, 2007–2017. doi:10.3109/09638288.2012.667192</w:t>
      </w:r>
    </w:p>
    <w:p w14:paraId="1EBC83BC" w14:textId="51ADB55B" w:rsidR="00930518" w:rsidRPr="0012768B" w:rsidRDefault="00930518" w:rsidP="00930518">
      <w:pPr>
        <w:spacing w:after="160" w:line="259" w:lineRule="auto"/>
        <w:ind w:left="567" w:hanging="567"/>
        <w:jc w:val="both"/>
        <w:rPr>
          <w:rFonts w:asciiTheme="majorHAnsi" w:hAnsiTheme="majorHAnsi" w:cstheme="majorHAnsi"/>
        </w:rPr>
      </w:pPr>
      <w:r w:rsidRPr="00084A89">
        <w:rPr>
          <w:rFonts w:asciiTheme="majorHAnsi" w:hAnsiTheme="majorHAnsi" w:cstheme="majorHAnsi"/>
          <w:lang w:val="en-US"/>
        </w:rPr>
        <w:t xml:space="preserve">Mechanic, M. B., Weaver, T. L., &amp; </w:t>
      </w:r>
      <w:proofErr w:type="spellStart"/>
      <w:r w:rsidRPr="00084A89">
        <w:rPr>
          <w:rFonts w:asciiTheme="majorHAnsi" w:hAnsiTheme="majorHAnsi" w:cstheme="majorHAnsi"/>
          <w:lang w:val="en-US"/>
        </w:rPr>
        <w:t>Resick</w:t>
      </w:r>
      <w:proofErr w:type="spellEnd"/>
      <w:r w:rsidRPr="00084A89">
        <w:rPr>
          <w:rFonts w:asciiTheme="majorHAnsi" w:hAnsiTheme="majorHAnsi" w:cstheme="majorHAnsi"/>
          <w:lang w:val="en-US"/>
        </w:rPr>
        <w:t xml:space="preserve">, P. A. (2008). Risk Factors for Physical Injury Among Help-Seeking Battered Women: An Exploration of Multiple Abuse Dimensions. </w:t>
      </w:r>
      <w:r w:rsidRPr="0012768B">
        <w:rPr>
          <w:rFonts w:asciiTheme="majorHAnsi" w:hAnsiTheme="majorHAnsi" w:cstheme="majorHAnsi"/>
          <w:i/>
          <w:iCs/>
        </w:rPr>
        <w:t xml:space="preserve">Violence Against </w:t>
      </w:r>
      <w:proofErr w:type="spellStart"/>
      <w:r w:rsidRPr="0012768B">
        <w:rPr>
          <w:rFonts w:asciiTheme="majorHAnsi" w:hAnsiTheme="majorHAnsi" w:cstheme="majorHAnsi"/>
          <w:i/>
          <w:iCs/>
        </w:rPr>
        <w:t>Women</w:t>
      </w:r>
      <w:proofErr w:type="spellEnd"/>
      <w:r w:rsidRPr="0012768B">
        <w:rPr>
          <w:rFonts w:asciiTheme="majorHAnsi" w:hAnsiTheme="majorHAnsi" w:cstheme="majorHAnsi"/>
        </w:rPr>
        <w:t xml:space="preserve">, </w:t>
      </w:r>
      <w:r w:rsidRPr="0012768B">
        <w:rPr>
          <w:rFonts w:asciiTheme="majorHAnsi" w:hAnsiTheme="majorHAnsi" w:cstheme="majorHAnsi"/>
          <w:i/>
          <w:iCs/>
        </w:rPr>
        <w:t>14</w:t>
      </w:r>
      <w:r w:rsidRPr="0012768B">
        <w:rPr>
          <w:rFonts w:asciiTheme="majorHAnsi" w:hAnsiTheme="majorHAnsi" w:cstheme="majorHAnsi"/>
        </w:rPr>
        <w:t xml:space="preserve">(10), 1148–1165. </w:t>
      </w:r>
      <w:hyperlink r:id="rId10" w:history="1">
        <w:r w:rsidRPr="0012768B">
          <w:rPr>
            <w:rStyle w:val="Lienhypertexte"/>
            <w:rFonts w:asciiTheme="majorHAnsi" w:hAnsiTheme="majorHAnsi" w:cstheme="majorHAnsi"/>
          </w:rPr>
          <w:t>https://doi.org/10.1177/1077801208323792</w:t>
        </w:r>
      </w:hyperlink>
      <w:r w:rsidRPr="0012768B">
        <w:rPr>
          <w:rFonts w:asciiTheme="majorHAnsi" w:hAnsiTheme="majorHAnsi" w:cstheme="majorHAnsi"/>
        </w:rPr>
        <w:t xml:space="preserve"> </w:t>
      </w:r>
    </w:p>
    <w:p w14:paraId="5C951937" w14:textId="72FDA48D" w:rsidR="00930518" w:rsidRPr="00084A89" w:rsidRDefault="00930518" w:rsidP="00930518">
      <w:pPr>
        <w:spacing w:after="160" w:line="259" w:lineRule="auto"/>
        <w:ind w:left="567" w:hanging="567"/>
        <w:jc w:val="both"/>
        <w:rPr>
          <w:rFonts w:asciiTheme="majorHAnsi" w:hAnsiTheme="majorHAnsi" w:cstheme="majorHAnsi"/>
        </w:rPr>
      </w:pPr>
      <w:r w:rsidRPr="00084A89">
        <w:rPr>
          <w:rFonts w:asciiTheme="majorHAnsi" w:hAnsiTheme="majorHAnsi" w:cstheme="majorHAnsi"/>
        </w:rPr>
        <w:t xml:space="preserve">Savage, L. (2021). Violence entre partenaires intimes : expériences des femmes ayant une incapacité au Canada, 2018. </w:t>
      </w:r>
      <w:proofErr w:type="spellStart"/>
      <w:r w:rsidRPr="00084A89">
        <w:rPr>
          <w:rFonts w:asciiTheme="majorHAnsi" w:hAnsiTheme="majorHAnsi" w:cstheme="majorHAnsi"/>
        </w:rPr>
        <w:t>Juristat</w:t>
      </w:r>
      <w:proofErr w:type="spellEnd"/>
      <w:r w:rsidRPr="00084A89">
        <w:rPr>
          <w:rFonts w:asciiTheme="majorHAnsi" w:hAnsiTheme="majorHAnsi" w:cstheme="majorHAnsi"/>
        </w:rPr>
        <w:t>. Statistiques Canada No 85- 002-X au catalogue, 24p.</w:t>
      </w:r>
    </w:p>
    <w:p w14:paraId="7F801D8D" w14:textId="776A8F92" w:rsidR="00930518" w:rsidRPr="00084A89" w:rsidRDefault="00930518" w:rsidP="00930518">
      <w:pPr>
        <w:spacing w:after="160" w:line="259" w:lineRule="auto"/>
        <w:ind w:left="567" w:hanging="567"/>
        <w:jc w:val="both"/>
        <w:rPr>
          <w:rStyle w:val="Lienhypertexte"/>
          <w:rFonts w:asciiTheme="majorHAnsi" w:hAnsiTheme="majorHAnsi" w:cstheme="majorHAnsi"/>
          <w:lang w:val="en-US"/>
        </w:rPr>
      </w:pPr>
      <w:r w:rsidRPr="0012768B">
        <w:rPr>
          <w:rFonts w:asciiTheme="majorHAnsi" w:hAnsiTheme="majorHAnsi" w:cstheme="majorHAnsi"/>
        </w:rPr>
        <w:t xml:space="preserve">Smith, D.L., &amp; Hilton, C.L (2008). </w:t>
      </w:r>
      <w:r w:rsidRPr="00084A89">
        <w:rPr>
          <w:rFonts w:asciiTheme="majorHAnsi" w:hAnsiTheme="majorHAnsi" w:cstheme="majorHAnsi"/>
          <w:lang w:val="en-US"/>
        </w:rPr>
        <w:t xml:space="preserve">An occupational justice perspective of domestic violence against women with disabilities. </w:t>
      </w:r>
      <w:r w:rsidRPr="00084A89">
        <w:rPr>
          <w:rFonts w:asciiTheme="majorHAnsi" w:hAnsiTheme="majorHAnsi" w:cstheme="majorHAnsi"/>
          <w:i/>
          <w:iCs/>
          <w:lang w:val="en-US"/>
        </w:rPr>
        <w:t>Journal of Occupational Science, 15</w:t>
      </w:r>
      <w:r w:rsidRPr="00084A89">
        <w:rPr>
          <w:rFonts w:asciiTheme="majorHAnsi" w:hAnsiTheme="majorHAnsi" w:cstheme="majorHAnsi"/>
          <w:lang w:val="en-US"/>
        </w:rPr>
        <w:t xml:space="preserve">, 166-172. </w:t>
      </w:r>
      <w:hyperlink r:id="rId11" w:history="1">
        <w:r w:rsidRPr="00084A89">
          <w:rPr>
            <w:rStyle w:val="Lienhypertexte"/>
            <w:rFonts w:asciiTheme="majorHAnsi" w:hAnsiTheme="majorHAnsi" w:cstheme="majorHAnsi"/>
            <w:lang w:val="en-US"/>
          </w:rPr>
          <w:t>https://doi.org/10.1080/14427591.2008.9686626</w:t>
        </w:r>
      </w:hyperlink>
    </w:p>
    <w:p w14:paraId="4E12DA89" w14:textId="000FA370" w:rsidR="00930518" w:rsidRPr="00084A89" w:rsidRDefault="00930518" w:rsidP="00930518">
      <w:pPr>
        <w:spacing w:after="160" w:line="259" w:lineRule="auto"/>
        <w:ind w:left="567" w:hanging="567"/>
        <w:jc w:val="both"/>
        <w:rPr>
          <w:rStyle w:val="Lienhypertexte"/>
          <w:rFonts w:asciiTheme="majorHAnsi" w:hAnsiTheme="majorHAnsi" w:cstheme="majorHAnsi"/>
          <w:color w:val="auto"/>
          <w:u w:val="none"/>
          <w:lang w:val="en-US"/>
        </w:rPr>
      </w:pPr>
      <w:proofErr w:type="spellStart"/>
      <w:r w:rsidRPr="00084A89">
        <w:rPr>
          <w:rFonts w:asciiTheme="majorHAnsi" w:hAnsiTheme="majorHAnsi" w:cstheme="majorHAnsi"/>
          <w:lang w:val="en-US"/>
        </w:rPr>
        <w:t>Stadnyk</w:t>
      </w:r>
      <w:proofErr w:type="spellEnd"/>
      <w:r w:rsidRPr="00084A89">
        <w:rPr>
          <w:rFonts w:asciiTheme="majorHAnsi" w:hAnsiTheme="majorHAnsi" w:cstheme="majorHAnsi"/>
          <w:lang w:val="en-US"/>
        </w:rPr>
        <w:t xml:space="preserve">, R., Townsend, E., &amp; Wilcock, A. (2010). Occupational justice. In C. H. Christiansen &amp; E. A. Townsend (Eds.), </w:t>
      </w:r>
      <w:r w:rsidRPr="00084A89">
        <w:rPr>
          <w:rFonts w:asciiTheme="majorHAnsi" w:hAnsiTheme="majorHAnsi" w:cstheme="majorHAnsi"/>
          <w:i/>
          <w:iCs/>
          <w:lang w:val="en-US"/>
        </w:rPr>
        <w:t xml:space="preserve">Introduction to occupation: The art and science of living, </w:t>
      </w:r>
      <w:r w:rsidRPr="00084A89">
        <w:rPr>
          <w:rFonts w:asciiTheme="majorHAnsi" w:hAnsiTheme="majorHAnsi" w:cstheme="majorHAnsi"/>
          <w:lang w:val="en-US"/>
        </w:rPr>
        <w:t xml:space="preserve">2nd ed., 329-358. Upper Saddle River, NJ: Pearson Education. </w:t>
      </w:r>
    </w:p>
    <w:p w14:paraId="6CC68BBB" w14:textId="77777777" w:rsidR="00930518" w:rsidRPr="00084A89" w:rsidRDefault="00930518" w:rsidP="00930518">
      <w:pPr>
        <w:ind w:left="567" w:hanging="567"/>
        <w:jc w:val="both"/>
        <w:rPr>
          <w:rFonts w:asciiTheme="majorHAnsi" w:hAnsiTheme="majorHAnsi" w:cstheme="majorHAnsi"/>
          <w:lang w:val="en-US"/>
        </w:rPr>
      </w:pPr>
      <w:r w:rsidRPr="00084A89">
        <w:rPr>
          <w:rFonts w:asciiTheme="majorHAnsi" w:hAnsiTheme="majorHAnsi" w:cstheme="majorHAnsi"/>
          <w:lang w:val="en-US"/>
        </w:rPr>
        <w:t xml:space="preserve">Taft, A., Young, F., Hegarty, K., Yelland, J., Mazza, D., Boyle, D. &amp; Feder, G. (2021). HARMONY: a pragmatic cluster </w:t>
      </w:r>
      <w:proofErr w:type="spellStart"/>
      <w:r w:rsidRPr="00084A89">
        <w:rPr>
          <w:rFonts w:asciiTheme="majorHAnsi" w:hAnsiTheme="majorHAnsi" w:cstheme="majorHAnsi"/>
          <w:lang w:val="en-US"/>
        </w:rPr>
        <w:t>randomised</w:t>
      </w:r>
      <w:proofErr w:type="spellEnd"/>
      <w:r w:rsidRPr="00084A89">
        <w:rPr>
          <w:rFonts w:asciiTheme="majorHAnsi" w:hAnsiTheme="majorHAnsi" w:cstheme="majorHAnsi"/>
          <w:lang w:val="en-US"/>
        </w:rPr>
        <w:t xml:space="preserve"> controlled trial of a culturally competent systems intervention to prevent and reduce domestic violence among migrant and refugee families in general practice: study protocol. </w:t>
      </w:r>
      <w:r w:rsidRPr="00084A89">
        <w:rPr>
          <w:rFonts w:asciiTheme="majorHAnsi" w:hAnsiTheme="majorHAnsi" w:cstheme="majorHAnsi"/>
          <w:i/>
          <w:iCs/>
          <w:lang w:val="en-US"/>
        </w:rPr>
        <w:t>BMJ open</w:t>
      </w:r>
      <w:r w:rsidRPr="00084A89">
        <w:rPr>
          <w:rFonts w:asciiTheme="majorHAnsi" w:hAnsiTheme="majorHAnsi" w:cstheme="majorHAnsi"/>
          <w:lang w:val="en-US"/>
        </w:rPr>
        <w:t xml:space="preserve">, </w:t>
      </w:r>
      <w:r w:rsidRPr="00084A89">
        <w:rPr>
          <w:rFonts w:asciiTheme="majorHAnsi" w:hAnsiTheme="majorHAnsi" w:cstheme="majorHAnsi"/>
          <w:i/>
          <w:iCs/>
          <w:lang w:val="en-US"/>
        </w:rPr>
        <w:t>11</w:t>
      </w:r>
      <w:r w:rsidRPr="00084A89">
        <w:rPr>
          <w:rFonts w:asciiTheme="majorHAnsi" w:hAnsiTheme="majorHAnsi" w:cstheme="majorHAnsi"/>
          <w:lang w:val="en-US"/>
        </w:rPr>
        <w:t xml:space="preserve">(7), e046431. </w:t>
      </w:r>
    </w:p>
    <w:p w14:paraId="48AE963D" w14:textId="77777777" w:rsidR="00930518" w:rsidRPr="001D2DF9" w:rsidRDefault="00930518" w:rsidP="00930518">
      <w:pPr>
        <w:spacing w:after="160" w:line="259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 w14:paraId="420C971B" w14:textId="77777777" w:rsidR="00930518" w:rsidRDefault="00930518">
      <w:pPr>
        <w:rPr>
          <w:lang w:val="fr-CA"/>
        </w:rPr>
      </w:pPr>
    </w:p>
    <w:p w14:paraId="66F40F6C" w14:textId="77777777" w:rsidR="00E50C1C" w:rsidRPr="00D846B6" w:rsidRDefault="00E50C1C">
      <w:pPr>
        <w:rPr>
          <w:lang w:val="fr-CA"/>
        </w:rPr>
      </w:pPr>
    </w:p>
    <w:sectPr w:rsidR="00E50C1C" w:rsidRPr="00D8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38F30" w14:textId="77777777" w:rsidR="00971B3E" w:rsidRDefault="00971B3E" w:rsidP="00D846B6">
      <w:r>
        <w:separator/>
      </w:r>
    </w:p>
  </w:endnote>
  <w:endnote w:type="continuationSeparator" w:id="0">
    <w:p w14:paraId="34988696" w14:textId="77777777" w:rsidR="00971B3E" w:rsidRDefault="00971B3E" w:rsidP="00D8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1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E8B5D" w14:textId="77777777" w:rsidR="00971B3E" w:rsidRDefault="00971B3E" w:rsidP="00D846B6">
      <w:r>
        <w:separator/>
      </w:r>
    </w:p>
  </w:footnote>
  <w:footnote w:type="continuationSeparator" w:id="0">
    <w:p w14:paraId="00FF6D05" w14:textId="77777777" w:rsidR="00971B3E" w:rsidRDefault="00971B3E" w:rsidP="00D84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410DC"/>
    <w:multiLevelType w:val="hybridMultilevel"/>
    <w:tmpl w:val="8084AD0E"/>
    <w:lvl w:ilvl="0" w:tplc="C222456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F04ED"/>
    <w:multiLevelType w:val="hybridMultilevel"/>
    <w:tmpl w:val="6D0C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6544F"/>
    <w:multiLevelType w:val="hybridMultilevel"/>
    <w:tmpl w:val="645C85D2"/>
    <w:lvl w:ilvl="0" w:tplc="430A3FF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B6"/>
    <w:rsid w:val="00027FDF"/>
    <w:rsid w:val="00067546"/>
    <w:rsid w:val="00084A89"/>
    <w:rsid w:val="00095FEC"/>
    <w:rsid w:val="000C5011"/>
    <w:rsid w:val="000D5C52"/>
    <w:rsid w:val="000D60FC"/>
    <w:rsid w:val="000F7088"/>
    <w:rsid w:val="00102B4D"/>
    <w:rsid w:val="0012768B"/>
    <w:rsid w:val="00157583"/>
    <w:rsid w:val="0025221B"/>
    <w:rsid w:val="002B48E1"/>
    <w:rsid w:val="002C25A7"/>
    <w:rsid w:val="002D1AFC"/>
    <w:rsid w:val="002D21AC"/>
    <w:rsid w:val="00333E66"/>
    <w:rsid w:val="00354932"/>
    <w:rsid w:val="00373B0F"/>
    <w:rsid w:val="00394761"/>
    <w:rsid w:val="00435CA0"/>
    <w:rsid w:val="00437F11"/>
    <w:rsid w:val="00586EF7"/>
    <w:rsid w:val="00597C7B"/>
    <w:rsid w:val="0060758A"/>
    <w:rsid w:val="0061565A"/>
    <w:rsid w:val="0063513C"/>
    <w:rsid w:val="00681650"/>
    <w:rsid w:val="006A2428"/>
    <w:rsid w:val="006B7848"/>
    <w:rsid w:val="006D70F1"/>
    <w:rsid w:val="006F1312"/>
    <w:rsid w:val="00754883"/>
    <w:rsid w:val="007E5F8C"/>
    <w:rsid w:val="00835A15"/>
    <w:rsid w:val="008771A4"/>
    <w:rsid w:val="00882802"/>
    <w:rsid w:val="008957E8"/>
    <w:rsid w:val="00897EC1"/>
    <w:rsid w:val="008E1037"/>
    <w:rsid w:val="00930518"/>
    <w:rsid w:val="009424BE"/>
    <w:rsid w:val="00952C0A"/>
    <w:rsid w:val="00955415"/>
    <w:rsid w:val="00971B3E"/>
    <w:rsid w:val="009C4C05"/>
    <w:rsid w:val="009D263C"/>
    <w:rsid w:val="009D4D02"/>
    <w:rsid w:val="00A535E3"/>
    <w:rsid w:val="00AC50DA"/>
    <w:rsid w:val="00AC6B61"/>
    <w:rsid w:val="00AE08DF"/>
    <w:rsid w:val="00B3648D"/>
    <w:rsid w:val="00BA3DAD"/>
    <w:rsid w:val="00BC72DE"/>
    <w:rsid w:val="00BD41D7"/>
    <w:rsid w:val="00C52EE7"/>
    <w:rsid w:val="00C65686"/>
    <w:rsid w:val="00C91911"/>
    <w:rsid w:val="00C92177"/>
    <w:rsid w:val="00CA400D"/>
    <w:rsid w:val="00CB0521"/>
    <w:rsid w:val="00CB6F6C"/>
    <w:rsid w:val="00CC2688"/>
    <w:rsid w:val="00D62A5A"/>
    <w:rsid w:val="00D846B6"/>
    <w:rsid w:val="00DB4629"/>
    <w:rsid w:val="00E22DE6"/>
    <w:rsid w:val="00E23C37"/>
    <w:rsid w:val="00E31C24"/>
    <w:rsid w:val="00E50C1C"/>
    <w:rsid w:val="00E84E12"/>
    <w:rsid w:val="00EB2DD7"/>
    <w:rsid w:val="00EE0BE3"/>
    <w:rsid w:val="00F1204B"/>
    <w:rsid w:val="00F44216"/>
    <w:rsid w:val="00F4443C"/>
    <w:rsid w:val="00F602FC"/>
    <w:rsid w:val="00F7033D"/>
    <w:rsid w:val="00F806E0"/>
    <w:rsid w:val="00FD54E9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545E"/>
  <w15:chartTrackingRefBased/>
  <w15:docId w15:val="{10544F95-148A-D74A-8BCF-1634C30C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">
    <w:name w:val="normaltextrun"/>
    <w:basedOn w:val="Policepardfaut"/>
    <w:rsid w:val="00D846B6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846B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846B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846B6"/>
    <w:rPr>
      <w:vertAlign w:val="superscript"/>
    </w:rPr>
  </w:style>
  <w:style w:type="paragraph" w:styleId="Rvision">
    <w:name w:val="Revision"/>
    <w:hidden/>
    <w:uiPriority w:val="99"/>
    <w:semiHidden/>
    <w:rsid w:val="00D846B6"/>
  </w:style>
  <w:style w:type="character" w:styleId="Accentuation">
    <w:name w:val="Emphasis"/>
    <w:basedOn w:val="Policepardfaut"/>
    <w:uiPriority w:val="20"/>
    <w:qFormat/>
    <w:rsid w:val="00EE0BE3"/>
    <w:rPr>
      <w:i/>
      <w:iCs/>
    </w:rPr>
  </w:style>
  <w:style w:type="paragraph" w:styleId="Paragraphedeliste">
    <w:name w:val="List Paragraph"/>
    <w:basedOn w:val="Normal"/>
    <w:uiPriority w:val="34"/>
    <w:qFormat/>
    <w:rsid w:val="00CA400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30518"/>
    <w:rPr>
      <w:color w:val="0563C1" w:themeColor="hyperlink"/>
      <w:u w:val="single"/>
    </w:rPr>
  </w:style>
  <w:style w:type="character" w:customStyle="1" w:styleId="authors">
    <w:name w:val="authors"/>
    <w:basedOn w:val="Policepardfaut"/>
    <w:rsid w:val="002C25A7"/>
  </w:style>
  <w:style w:type="character" w:customStyle="1" w:styleId="Date1">
    <w:name w:val="Date1"/>
    <w:basedOn w:val="Policepardfaut"/>
    <w:rsid w:val="002C25A7"/>
  </w:style>
  <w:style w:type="character" w:customStyle="1" w:styleId="arttitle">
    <w:name w:val="art_title"/>
    <w:basedOn w:val="Policepardfaut"/>
    <w:rsid w:val="002C25A7"/>
  </w:style>
  <w:style w:type="character" w:customStyle="1" w:styleId="serialtitle">
    <w:name w:val="serial_title"/>
    <w:basedOn w:val="Policepardfaut"/>
    <w:rsid w:val="002C25A7"/>
  </w:style>
  <w:style w:type="character" w:customStyle="1" w:styleId="doilink">
    <w:name w:val="doi_link"/>
    <w:basedOn w:val="Policepardfaut"/>
    <w:rsid w:val="002C25A7"/>
  </w:style>
  <w:style w:type="character" w:styleId="Mentionnonrsolue">
    <w:name w:val="Unresolved Mention"/>
    <w:basedOn w:val="Policepardfaut"/>
    <w:uiPriority w:val="99"/>
    <w:semiHidden/>
    <w:unhideWhenUsed/>
    <w:rsid w:val="00084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511482.2022.21253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4427591.2008.96866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177/10778012083237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eeipsh.org/mission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C29A8E-C22B-1F40-9BBE-350A9FAE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Syrielle Zouakh</dc:creator>
  <cp:keywords/>
  <dc:description/>
  <cp:lastModifiedBy>Syrielle Zouakh</cp:lastModifiedBy>
  <cp:revision>3</cp:revision>
  <dcterms:created xsi:type="dcterms:W3CDTF">2023-01-31T19:53:00Z</dcterms:created>
  <dcterms:modified xsi:type="dcterms:W3CDTF">2023-01-31T19:53:00Z</dcterms:modified>
</cp:coreProperties>
</file>