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CDD7" w14:textId="5C7B3F10" w:rsidR="00246B4F" w:rsidRPr="00C767F2" w:rsidRDefault="00DB1A5D" w:rsidP="00C767F2">
      <w:pPr>
        <w:pStyle w:val="Titre1"/>
        <w:spacing w:line="360" w:lineRule="auto"/>
        <w:jc w:val="both"/>
        <w:rPr>
          <w:rFonts w:ascii="Arial" w:hAnsi="Arial" w:cs="Arial"/>
        </w:rPr>
      </w:pPr>
      <w:r>
        <w:rPr>
          <w:rFonts w:ascii="Arial" w:hAnsi="Arial" w:cs="Arial"/>
        </w:rPr>
        <w:t>La participation, question de capacité ?</w:t>
      </w:r>
    </w:p>
    <w:p w14:paraId="45513B56" w14:textId="585E2496" w:rsidR="00476A56" w:rsidRPr="00C767F2" w:rsidRDefault="00476A56" w:rsidP="00C767F2">
      <w:pPr>
        <w:spacing w:line="360" w:lineRule="auto"/>
        <w:jc w:val="both"/>
        <w:rPr>
          <w:rFonts w:ascii="Arial" w:hAnsi="Arial" w:cs="Arial"/>
        </w:rPr>
      </w:pPr>
    </w:p>
    <w:p w14:paraId="2EAE803C" w14:textId="7F2F366E" w:rsidR="00476A56" w:rsidRDefault="00476A56" w:rsidP="00C767F2">
      <w:pPr>
        <w:spacing w:line="360" w:lineRule="auto"/>
        <w:jc w:val="both"/>
        <w:rPr>
          <w:rFonts w:ascii="Arial" w:hAnsi="Arial" w:cs="Arial"/>
        </w:rPr>
      </w:pPr>
      <w:r w:rsidRPr="00C767F2">
        <w:rPr>
          <w:rFonts w:ascii="Arial" w:hAnsi="Arial" w:cs="Arial"/>
        </w:rPr>
        <w:t>Loïc Andrien, CEREFIGE</w:t>
      </w:r>
      <w:r w:rsidR="007370E5" w:rsidRPr="00C767F2">
        <w:rPr>
          <w:rFonts w:ascii="Arial" w:hAnsi="Arial" w:cs="Arial"/>
        </w:rPr>
        <w:t xml:space="preserve">, </w:t>
      </w:r>
      <w:r w:rsidR="003652DF" w:rsidRPr="00C767F2">
        <w:rPr>
          <w:rFonts w:ascii="Arial" w:hAnsi="Arial" w:cs="Arial"/>
        </w:rPr>
        <w:t>Université de Lorraine</w:t>
      </w:r>
    </w:p>
    <w:p w14:paraId="51481032" w14:textId="687A10B1" w:rsidR="00DB1A5D" w:rsidRDefault="00DB1A5D" w:rsidP="00C767F2">
      <w:pPr>
        <w:spacing w:line="360" w:lineRule="auto"/>
        <w:jc w:val="both"/>
        <w:rPr>
          <w:rFonts w:ascii="Arial" w:hAnsi="Arial" w:cs="Arial"/>
        </w:rPr>
      </w:pPr>
      <w:r>
        <w:rPr>
          <w:rFonts w:ascii="Arial" w:hAnsi="Arial" w:cs="Arial"/>
        </w:rPr>
        <w:t>Gaëlle Martin-Sisteron, Fédération APAJH</w:t>
      </w:r>
    </w:p>
    <w:p w14:paraId="0B9CACB7" w14:textId="7498ADCA" w:rsidR="00DB1A5D" w:rsidRDefault="00A8179E" w:rsidP="00C767F2">
      <w:pPr>
        <w:spacing w:line="360" w:lineRule="auto"/>
        <w:jc w:val="both"/>
        <w:rPr>
          <w:rFonts w:ascii="Arial" w:hAnsi="Arial" w:cs="Arial"/>
        </w:rPr>
      </w:pPr>
      <w:r>
        <w:rPr>
          <w:rFonts w:ascii="Arial" w:hAnsi="Arial" w:cs="Arial"/>
        </w:rPr>
        <w:t xml:space="preserve">Un ou deux membres du comité de pilotage du projet </w:t>
      </w:r>
    </w:p>
    <w:p w14:paraId="47E99EB3" w14:textId="2050240F" w:rsidR="00DB1A5D" w:rsidRDefault="00DB1A5D" w:rsidP="00C767F2">
      <w:pPr>
        <w:spacing w:line="360" w:lineRule="auto"/>
        <w:jc w:val="both"/>
        <w:rPr>
          <w:rFonts w:ascii="Arial" w:hAnsi="Arial" w:cs="Arial"/>
        </w:rPr>
      </w:pPr>
    </w:p>
    <w:p w14:paraId="6E12237F" w14:textId="6D2161CA" w:rsidR="003652DF" w:rsidRPr="00C767F2" w:rsidRDefault="00A8179E" w:rsidP="00C767F2">
      <w:pPr>
        <w:spacing w:line="360" w:lineRule="auto"/>
        <w:jc w:val="both"/>
        <w:rPr>
          <w:rFonts w:ascii="Arial" w:hAnsi="Arial" w:cs="Arial"/>
        </w:rPr>
      </w:pPr>
      <w:r>
        <w:rPr>
          <w:rFonts w:ascii="Arial" w:hAnsi="Arial" w:cs="Arial"/>
        </w:rPr>
        <w:t xml:space="preserve">Contact : </w:t>
      </w:r>
      <w:hyperlink r:id="rId5" w:history="1">
        <w:r w:rsidR="003652DF" w:rsidRPr="00C767F2">
          <w:rPr>
            <w:rStyle w:val="Lienhypertexte"/>
            <w:rFonts w:ascii="Arial" w:hAnsi="Arial" w:cs="Arial"/>
          </w:rPr>
          <w:t>loic.andrien@gmail.com</w:t>
        </w:r>
      </w:hyperlink>
      <w:r w:rsidR="003652DF" w:rsidRPr="00C767F2">
        <w:rPr>
          <w:rFonts w:ascii="Arial" w:hAnsi="Arial" w:cs="Arial"/>
        </w:rPr>
        <w:t xml:space="preserve"> </w:t>
      </w:r>
    </w:p>
    <w:p w14:paraId="20500A77" w14:textId="5E2EBDC4" w:rsidR="00246B4F" w:rsidRPr="00C767F2" w:rsidRDefault="00246B4F" w:rsidP="00C767F2">
      <w:pPr>
        <w:spacing w:line="360" w:lineRule="auto"/>
        <w:jc w:val="both"/>
        <w:rPr>
          <w:rFonts w:ascii="Arial" w:hAnsi="Arial" w:cs="Arial"/>
        </w:rPr>
      </w:pPr>
    </w:p>
    <w:p w14:paraId="4232FD04" w14:textId="33BE1E1B" w:rsidR="003652DF" w:rsidRPr="00C767F2" w:rsidRDefault="003652DF" w:rsidP="00C767F2">
      <w:pPr>
        <w:spacing w:line="360" w:lineRule="auto"/>
        <w:jc w:val="both"/>
        <w:rPr>
          <w:rFonts w:ascii="Arial" w:hAnsi="Arial" w:cs="Arial"/>
        </w:rPr>
      </w:pPr>
    </w:p>
    <w:p w14:paraId="1F95AF2D" w14:textId="79EF6C07" w:rsidR="006D7F52" w:rsidRPr="00C767F2" w:rsidRDefault="00222568" w:rsidP="00C767F2">
      <w:pPr>
        <w:pStyle w:val="Titre2"/>
        <w:spacing w:line="360" w:lineRule="auto"/>
        <w:jc w:val="both"/>
        <w:rPr>
          <w:rFonts w:ascii="Arial" w:hAnsi="Arial" w:cs="Arial"/>
        </w:rPr>
      </w:pPr>
      <w:r w:rsidRPr="00C767F2">
        <w:rPr>
          <w:rFonts w:ascii="Arial" w:hAnsi="Arial" w:cs="Arial"/>
        </w:rPr>
        <w:t>Introduction</w:t>
      </w:r>
    </w:p>
    <w:p w14:paraId="71104E36" w14:textId="053C4ED2" w:rsidR="00222568" w:rsidRDefault="00222568" w:rsidP="00C767F2">
      <w:pPr>
        <w:spacing w:line="360" w:lineRule="auto"/>
        <w:jc w:val="both"/>
        <w:rPr>
          <w:rFonts w:ascii="Arial" w:hAnsi="Arial" w:cs="Arial"/>
        </w:rPr>
      </w:pPr>
    </w:p>
    <w:p w14:paraId="799C9E11" w14:textId="32702791" w:rsidR="00A8179E" w:rsidRDefault="00A8179E" w:rsidP="00A8179E">
      <w:pPr>
        <w:spacing w:line="360" w:lineRule="auto"/>
        <w:jc w:val="both"/>
        <w:rPr>
          <w:rFonts w:ascii="Arial" w:hAnsi="Arial" w:cs="Arial"/>
        </w:rPr>
      </w:pPr>
      <w:r w:rsidRPr="00C767F2">
        <w:rPr>
          <w:rFonts w:ascii="Arial" w:hAnsi="Arial" w:cs="Arial"/>
        </w:rPr>
        <w:t>Cette</w:t>
      </w:r>
      <w:r>
        <w:rPr>
          <w:rFonts w:ascii="Arial" w:hAnsi="Arial" w:cs="Arial"/>
        </w:rPr>
        <w:t xml:space="preserve"> proposition de communication repose sur une</w:t>
      </w:r>
      <w:r w:rsidRPr="00C767F2">
        <w:rPr>
          <w:rFonts w:ascii="Arial" w:hAnsi="Arial" w:cs="Arial"/>
        </w:rPr>
        <w:t xml:space="preserve"> recherche action participative a</w:t>
      </w:r>
      <w:r>
        <w:rPr>
          <w:rFonts w:ascii="Arial" w:hAnsi="Arial" w:cs="Arial"/>
        </w:rPr>
        <w:t>yant</w:t>
      </w:r>
      <w:r w:rsidRPr="00C767F2">
        <w:rPr>
          <w:rFonts w:ascii="Arial" w:hAnsi="Arial" w:cs="Arial"/>
        </w:rPr>
        <w:t xml:space="preserve"> pour objectif le développement de la participation des </w:t>
      </w:r>
      <w:r>
        <w:rPr>
          <w:rFonts w:ascii="Arial" w:hAnsi="Arial" w:cs="Arial"/>
        </w:rPr>
        <w:t xml:space="preserve">usagers à la gouvernance des établissements et services qui les accompagnent. </w:t>
      </w:r>
      <w:r w:rsidR="00C95D55">
        <w:rPr>
          <w:rFonts w:ascii="Arial" w:hAnsi="Arial" w:cs="Arial"/>
        </w:rPr>
        <w:t>Inspirés par</w:t>
      </w:r>
      <w:r w:rsidRPr="00C767F2">
        <w:rPr>
          <w:rFonts w:ascii="Arial" w:hAnsi="Arial" w:cs="Arial"/>
        </w:rPr>
        <w:t xml:space="preserve"> la philosophie pragmatiste de John Dewey,</w:t>
      </w:r>
      <w:r w:rsidR="00C95D55">
        <w:rPr>
          <w:rFonts w:ascii="Arial" w:hAnsi="Arial" w:cs="Arial"/>
        </w:rPr>
        <w:t xml:space="preserve"> nous interrogeons la prise en compté de l</w:t>
      </w:r>
      <w:r w:rsidRPr="00C767F2">
        <w:rPr>
          <w:rFonts w:ascii="Arial" w:hAnsi="Arial" w:cs="Arial"/>
        </w:rPr>
        <w:t xml:space="preserve">’expérience des personnes en situation de handicap accompagnées par des </w:t>
      </w:r>
      <w:r w:rsidR="00C95D55">
        <w:rPr>
          <w:rFonts w:ascii="Arial" w:hAnsi="Arial" w:cs="Arial"/>
        </w:rPr>
        <w:t xml:space="preserve">établissements et services médico-sociaux. </w:t>
      </w:r>
    </w:p>
    <w:p w14:paraId="3B52B9FE" w14:textId="209A410D" w:rsidR="00A8179E" w:rsidRDefault="00A8179E" w:rsidP="00A8179E">
      <w:pPr>
        <w:spacing w:line="360" w:lineRule="auto"/>
        <w:jc w:val="both"/>
        <w:rPr>
          <w:rFonts w:ascii="Arial" w:hAnsi="Arial" w:cs="Arial"/>
        </w:rPr>
      </w:pPr>
    </w:p>
    <w:p w14:paraId="58BE4FA3" w14:textId="77777777" w:rsidR="00A8179E" w:rsidRDefault="00A8179E" w:rsidP="00A8179E">
      <w:pPr>
        <w:spacing w:line="360" w:lineRule="auto"/>
        <w:jc w:val="both"/>
        <w:rPr>
          <w:rFonts w:ascii="Arial" w:hAnsi="Arial" w:cs="Arial"/>
        </w:rPr>
      </w:pPr>
    </w:p>
    <w:p w14:paraId="35F1AE72" w14:textId="2ED71A0E" w:rsidR="00A8179E" w:rsidRDefault="00A8179E" w:rsidP="00A8179E">
      <w:pPr>
        <w:pStyle w:val="Titre2"/>
      </w:pPr>
      <w:r>
        <w:t>Méthodologie</w:t>
      </w:r>
    </w:p>
    <w:p w14:paraId="0D0F5771" w14:textId="77777777" w:rsidR="00A8179E" w:rsidRPr="00A8179E" w:rsidRDefault="00A8179E" w:rsidP="00A8179E"/>
    <w:p w14:paraId="16217143" w14:textId="67245D8E" w:rsidR="00A8179E" w:rsidRPr="00C767F2" w:rsidRDefault="00A8179E" w:rsidP="00A8179E">
      <w:pPr>
        <w:spacing w:line="360" w:lineRule="auto"/>
        <w:jc w:val="both"/>
        <w:rPr>
          <w:rFonts w:ascii="Arial" w:hAnsi="Arial" w:cs="Arial"/>
        </w:rPr>
      </w:pPr>
      <w:r w:rsidRPr="00C767F2">
        <w:rPr>
          <w:rFonts w:ascii="Arial" w:hAnsi="Arial" w:cs="Arial"/>
        </w:rPr>
        <w:t>Ce</w:t>
      </w:r>
      <w:r w:rsidR="00C95D55">
        <w:rPr>
          <w:rFonts w:ascii="Arial" w:hAnsi="Arial" w:cs="Arial"/>
        </w:rPr>
        <w:t xml:space="preserve"> questionnement est à </w:t>
      </w:r>
      <w:r w:rsidRPr="00C767F2">
        <w:rPr>
          <w:rFonts w:ascii="Arial" w:hAnsi="Arial" w:cs="Arial"/>
        </w:rPr>
        <w:t>l’origine d</w:t>
      </w:r>
      <w:r w:rsidR="00C95D55">
        <w:rPr>
          <w:rFonts w:ascii="Arial" w:hAnsi="Arial" w:cs="Arial"/>
        </w:rPr>
        <w:t xml:space="preserve">’une </w:t>
      </w:r>
      <w:r w:rsidRPr="00C767F2">
        <w:rPr>
          <w:rFonts w:ascii="Arial" w:hAnsi="Arial" w:cs="Arial"/>
        </w:rPr>
        <w:t xml:space="preserve">enquête </w:t>
      </w:r>
      <w:r w:rsidR="00C95D55" w:rsidRPr="00C767F2">
        <w:rPr>
          <w:rFonts w:ascii="Arial" w:hAnsi="Arial" w:cs="Arial"/>
        </w:rPr>
        <w:t xml:space="preserve"> </w:t>
      </w:r>
      <w:r w:rsidRPr="00C767F2">
        <w:rPr>
          <w:rFonts w:ascii="Arial" w:hAnsi="Arial" w:cs="Arial"/>
        </w:rPr>
        <w:t xml:space="preserve">menée par une </w:t>
      </w:r>
      <w:r w:rsidRPr="00C95D55">
        <w:rPr>
          <w:rFonts w:ascii="Arial" w:hAnsi="Arial" w:cs="Arial"/>
          <w:i/>
          <w:iCs/>
        </w:rPr>
        <w:t>communauté d’enquête</w:t>
      </w:r>
      <w:r w:rsidR="00C95D55" w:rsidRPr="00C95D55">
        <w:rPr>
          <w:rFonts w:ascii="Arial" w:hAnsi="Arial" w:cs="Arial"/>
          <w:i/>
          <w:iCs/>
        </w:rPr>
        <w:t xml:space="preserve"> </w:t>
      </w:r>
      <w:r w:rsidR="00C95D55" w:rsidRPr="00C767F2">
        <w:rPr>
          <w:rFonts w:ascii="Arial" w:hAnsi="Arial" w:cs="Arial"/>
        </w:rPr>
        <w:fldChar w:fldCharType="begin"/>
      </w:r>
      <w:r w:rsidR="00C95D55" w:rsidRPr="00C767F2">
        <w:rPr>
          <w:rFonts w:ascii="Arial" w:hAnsi="Arial" w:cs="Arial"/>
        </w:rPr>
        <w:instrText xml:space="preserve"> ADDIN EN.CITE &lt;EndNote&gt;&lt;Cite&gt;&lt;Author&gt;Dewey&lt;/Author&gt;&lt;Year&gt;1967&lt;/Year&gt;&lt;RecNum&gt;2431&lt;/RecNum&gt;&lt;DisplayText&gt;(Dewey, 1967)&lt;/DisplayText&gt;&lt;record&gt;&lt;rec-number&gt;2431&lt;/rec-number&gt;&lt;foreign-keys&gt;&lt;key app="EN" db-id="sdfzardrqrwstpevpac5xxwre099fst92x0p" timestamp="1569912400" guid="8a42f62a-f079-48b7-8f01-ca6527d8d206"&gt;2431&lt;/key&gt;&lt;/foreign-keys&gt;&lt;ref-type name="Book"&gt;6&lt;/ref-type&gt;&lt;contributors&gt;&lt;authors&gt;&lt;author&gt;Dewey, John&lt;/author&gt;&lt;/authors&gt;&lt;secondary-authors&gt;&lt;author&gt;Logique&lt;/author&gt;&lt;/secondary-authors&gt;&lt;/contributors&gt;&lt;titles&gt;&lt;title&gt;la Théorie de L&amp;apos;Enquête&lt;/title&gt;&lt;/titles&gt;&lt;dates&gt;&lt;year&gt;1967&lt;/year&gt;&lt;/dates&gt;&lt;pub-location&gt;Paris&lt;/pub-location&gt;&lt;publisher&gt;PUF&lt;/publisher&gt;&lt;urls&gt;&lt;/urls&gt;&lt;/record&gt;&lt;/Cite&gt;&lt;/EndNote&gt;</w:instrText>
      </w:r>
      <w:r w:rsidR="00C95D55" w:rsidRPr="00C767F2">
        <w:rPr>
          <w:rFonts w:ascii="Arial" w:hAnsi="Arial" w:cs="Arial"/>
        </w:rPr>
        <w:fldChar w:fldCharType="separate"/>
      </w:r>
      <w:r w:rsidR="00C95D55" w:rsidRPr="00C767F2">
        <w:rPr>
          <w:rFonts w:ascii="Arial" w:hAnsi="Arial" w:cs="Arial"/>
          <w:noProof/>
        </w:rPr>
        <w:t>(Dewey, 1967)</w:t>
      </w:r>
      <w:r w:rsidR="00C95D55" w:rsidRPr="00C767F2">
        <w:rPr>
          <w:rFonts w:ascii="Arial" w:hAnsi="Arial" w:cs="Arial"/>
        </w:rPr>
        <w:fldChar w:fldCharType="end"/>
      </w:r>
      <w:r w:rsidRPr="00C767F2">
        <w:rPr>
          <w:rFonts w:ascii="Arial" w:hAnsi="Arial" w:cs="Arial"/>
        </w:rPr>
        <w:t xml:space="preserve"> constituée de 3 personnes en situation de handicap, des 3 professionnels et des 2 cadres. Les membres représentent les différents établissements et services </w:t>
      </w:r>
      <w:r w:rsidR="00E161AB">
        <w:rPr>
          <w:rFonts w:ascii="Arial" w:hAnsi="Arial" w:cs="Arial"/>
        </w:rPr>
        <w:t>concernés par la recherche</w:t>
      </w:r>
      <w:r w:rsidRPr="00C767F2">
        <w:rPr>
          <w:rFonts w:ascii="Arial" w:hAnsi="Arial" w:cs="Arial"/>
        </w:rPr>
        <w:t xml:space="preserve">. Mais l’enquête ne s’improvise pas, elle s’apprend. Nous avons donc organisé des formations et des réunions qui ont permis à la communauté d’enquête de se préparer à observer ou à mener des entretiens. </w:t>
      </w:r>
    </w:p>
    <w:p w14:paraId="1C02C69F" w14:textId="271BBDDF" w:rsidR="00A8179E" w:rsidRPr="00C767F2" w:rsidRDefault="00A8179E" w:rsidP="00A8179E">
      <w:pPr>
        <w:spacing w:line="360" w:lineRule="auto"/>
        <w:jc w:val="both"/>
        <w:rPr>
          <w:rFonts w:ascii="Arial" w:hAnsi="Arial" w:cs="Arial"/>
        </w:rPr>
      </w:pPr>
      <w:r w:rsidRPr="00C767F2">
        <w:rPr>
          <w:rFonts w:ascii="Arial" w:hAnsi="Arial" w:cs="Arial"/>
        </w:rPr>
        <w:t xml:space="preserve">La communauté d’enquête se réunit une journée par mois afin d’analyser le travail produit et de préparer celui à venir. Il s’agit donc bien d’une recherche action participative car c’est une recherche avec chaque membre de la communauté, et non seulement une recherche sur eux </w:t>
      </w:r>
      <w:r w:rsidRPr="00C767F2">
        <w:rPr>
          <w:rFonts w:ascii="Arial" w:hAnsi="Arial" w:cs="Arial"/>
        </w:rPr>
        <w:fldChar w:fldCharType="begin"/>
      </w:r>
      <w:r w:rsidRPr="00C767F2">
        <w:rPr>
          <w:rFonts w:ascii="Arial" w:hAnsi="Arial" w:cs="Arial"/>
        </w:rPr>
        <w:instrText xml:space="preserve"> ADDIN EN.CITE &lt;EndNote&gt;&lt;Cite&gt;&lt;Author&gt;Heron&lt;/Author&gt;&lt;Year&gt;2006&lt;/Year&gt;&lt;RecNum&gt;3240&lt;/RecNum&gt;&lt;DisplayText&gt;(Heron &amp;amp; Reason, 2006)&lt;/DisplayText&gt;&lt;record&gt;&lt;rec-number&gt;3240&lt;/rec-number&gt;&lt;foreign-keys&gt;&lt;key app="EN" db-id="sdfzardrqrwstpevpac5xxwre099fst92x0p" timestamp="1645458056" guid="a03822b0-eee0-433f-a97e-d422e673a20b"&gt;3240&lt;/key&gt;&lt;/foreign-keys&gt;&lt;ref-type name="Journal Article"&gt;17&lt;/ref-type&gt;&lt;contributors&gt;&lt;authors&gt;&lt;author&gt;Heron, John&lt;/author&gt;&lt;author&gt;Reason, Peter&lt;/author&gt;&lt;/authors&gt;&lt;/contributors&gt;&lt;titles&gt;&lt;title&gt;The practice of co-operative inquiry: Research ‘with’rather than ‘on’people&lt;/title&gt;&lt;secondary-title&gt;Handbook of action research: Concise paperback edition&lt;/secondary-title&gt;&lt;/titles&gt;&lt;periodical&gt;&lt;full-title&gt;Handbook of action research: Concise paperback edition&lt;/full-title&gt;&lt;/periodical&gt;&lt;pages&gt;144-154&lt;/pages&gt;&lt;dates&gt;&lt;year&gt;2006&lt;/year&gt;&lt;/dates&gt;&lt;urls&gt;&lt;/urls&gt;&lt;/record&gt;&lt;/Cite&gt;&lt;/EndNote&gt;</w:instrText>
      </w:r>
      <w:r w:rsidRPr="00C767F2">
        <w:rPr>
          <w:rFonts w:ascii="Arial" w:hAnsi="Arial" w:cs="Arial"/>
        </w:rPr>
        <w:fldChar w:fldCharType="separate"/>
      </w:r>
      <w:r w:rsidRPr="00C767F2">
        <w:rPr>
          <w:rFonts w:ascii="Arial" w:hAnsi="Arial" w:cs="Arial"/>
          <w:noProof/>
        </w:rPr>
        <w:t>(Heron &amp; Reason, 2006)</w:t>
      </w:r>
      <w:r w:rsidRPr="00C767F2">
        <w:rPr>
          <w:rFonts w:ascii="Arial" w:hAnsi="Arial" w:cs="Arial"/>
        </w:rPr>
        <w:fldChar w:fldCharType="end"/>
      </w:r>
      <w:r w:rsidRPr="00C767F2">
        <w:rPr>
          <w:rFonts w:ascii="Arial" w:hAnsi="Arial" w:cs="Arial"/>
        </w:rPr>
        <w:t>.</w:t>
      </w:r>
    </w:p>
    <w:p w14:paraId="75A88BCD" w14:textId="5E083C8B" w:rsidR="00A8179E" w:rsidRDefault="00A8179E" w:rsidP="00C767F2">
      <w:pPr>
        <w:spacing w:line="360" w:lineRule="auto"/>
        <w:jc w:val="both"/>
        <w:rPr>
          <w:rFonts w:ascii="Arial" w:hAnsi="Arial" w:cs="Arial"/>
        </w:rPr>
      </w:pPr>
    </w:p>
    <w:p w14:paraId="7D07911C" w14:textId="50E65D63" w:rsidR="00A8179E" w:rsidRDefault="00A8179E" w:rsidP="00C767F2">
      <w:pPr>
        <w:spacing w:line="360" w:lineRule="auto"/>
        <w:jc w:val="both"/>
        <w:rPr>
          <w:rFonts w:ascii="Arial" w:hAnsi="Arial" w:cs="Arial"/>
        </w:rPr>
      </w:pPr>
    </w:p>
    <w:p w14:paraId="3099888A" w14:textId="0D3052E9" w:rsidR="00A8179E" w:rsidRDefault="00A8179E" w:rsidP="00A8179E">
      <w:pPr>
        <w:pStyle w:val="Titre2"/>
      </w:pPr>
      <w:r>
        <w:t>Résultats</w:t>
      </w:r>
    </w:p>
    <w:p w14:paraId="071DBBC0" w14:textId="77777777" w:rsidR="00A8179E" w:rsidRDefault="00A8179E" w:rsidP="00C767F2">
      <w:pPr>
        <w:spacing w:line="360" w:lineRule="auto"/>
        <w:jc w:val="both"/>
        <w:rPr>
          <w:rFonts w:ascii="Arial" w:hAnsi="Arial" w:cs="Arial"/>
        </w:rPr>
      </w:pPr>
    </w:p>
    <w:p w14:paraId="48F28ED3" w14:textId="6A423A8C" w:rsidR="00A8179E" w:rsidRPr="00C767F2" w:rsidRDefault="00A8179E" w:rsidP="00A8179E">
      <w:pPr>
        <w:spacing w:line="360" w:lineRule="auto"/>
        <w:jc w:val="both"/>
        <w:rPr>
          <w:rFonts w:ascii="Arial" w:hAnsi="Arial" w:cs="Arial"/>
        </w:rPr>
      </w:pPr>
      <w:r w:rsidRPr="00C767F2">
        <w:rPr>
          <w:rFonts w:ascii="Arial" w:hAnsi="Arial" w:cs="Arial"/>
        </w:rPr>
        <w:t xml:space="preserve">Cette enquête participative a rapidement mis en évidence </w:t>
      </w:r>
      <w:r>
        <w:rPr>
          <w:rFonts w:ascii="Arial" w:hAnsi="Arial" w:cs="Arial"/>
        </w:rPr>
        <w:t>une</w:t>
      </w:r>
      <w:r w:rsidRPr="00C767F2">
        <w:rPr>
          <w:rFonts w:ascii="Arial" w:hAnsi="Arial" w:cs="Arial"/>
        </w:rPr>
        <w:t xml:space="preserve"> croyance ou habitude</w:t>
      </w:r>
      <w:r>
        <w:rPr>
          <w:rFonts w:ascii="Arial" w:hAnsi="Arial" w:cs="Arial"/>
        </w:rPr>
        <w:t xml:space="preserve"> pouvant </w:t>
      </w:r>
      <w:r w:rsidRPr="00C767F2">
        <w:rPr>
          <w:rFonts w:ascii="Arial" w:hAnsi="Arial" w:cs="Arial"/>
        </w:rPr>
        <w:t>expliqu</w:t>
      </w:r>
      <w:r>
        <w:rPr>
          <w:rFonts w:ascii="Arial" w:hAnsi="Arial" w:cs="Arial"/>
        </w:rPr>
        <w:t>er</w:t>
      </w:r>
      <w:r w:rsidRPr="00C767F2">
        <w:rPr>
          <w:rFonts w:ascii="Arial" w:hAnsi="Arial" w:cs="Arial"/>
        </w:rPr>
        <w:t xml:space="preserve"> les freins à la participation des usagers. Pour John Dewey, les habitudes sont les façons de penser ou d’agir, collectivement construites, qui permettent à un individu de répondre à certaines situations </w:t>
      </w:r>
      <w:r w:rsidRPr="00C767F2">
        <w:rPr>
          <w:rFonts w:ascii="Arial" w:hAnsi="Arial" w:cs="Arial"/>
        </w:rPr>
        <w:fldChar w:fldCharType="begin"/>
      </w:r>
      <w:r w:rsidRPr="00C767F2">
        <w:rPr>
          <w:rFonts w:ascii="Arial" w:hAnsi="Arial" w:cs="Arial"/>
        </w:rPr>
        <w:instrText xml:space="preserve"> ADDIN EN.CITE &lt;EndNote&gt;&lt;Cite ExcludeAuth="1"&gt;&lt;Author&gt;Dewey&lt;/Author&gt;&lt;Year&gt;1922&lt;/Year&gt;&lt;RecNum&gt;3136&lt;/RecNum&gt;&lt;DisplayText&gt;(1922)&lt;/DisplayText&gt;&lt;record&gt;&lt;rec-number&gt;3136&lt;/rec-number&gt;&lt;foreign-keys&gt;&lt;key app="EN" db-id="sdfzardrqrwstpevpac5xxwre099fst92x0p" timestamp="1639404940" guid="d06fecbb-7ee1-45c4-af05-575c93a6f960"&gt;3136&lt;/key&gt;&lt;/foreign-keys&gt;&lt;ref-type name="Book"&gt;6&lt;/ref-type&gt;&lt;contributors&gt;&lt;authors&gt;&lt;author&gt;Dewey, John&lt;/author&gt;&lt;/authors&gt;&lt;/contributors&gt;&lt;titles&gt;&lt;title&gt;Human Nature and Conduct. An Introduction to Social Psychology &lt;/title&gt;&lt;/titles&gt;&lt;reprint-edition&gt;2002&lt;/reprint-edition&gt;&lt;dates&gt;&lt;year&gt;1922&lt;/year&gt;&lt;/dates&gt;&lt;pub-location&gt;New York&lt;/pub-location&gt;&lt;publisher&gt;Henry Holt and Company&lt;/publisher&gt;&lt;isbn&gt;0486420973&lt;/isbn&gt;&lt;urls&gt;&lt;/urls&gt;&lt;/record&gt;&lt;/Cite&gt;&lt;/EndNote&gt;</w:instrText>
      </w:r>
      <w:r w:rsidRPr="00C767F2">
        <w:rPr>
          <w:rFonts w:ascii="Arial" w:hAnsi="Arial" w:cs="Arial"/>
        </w:rPr>
        <w:fldChar w:fldCharType="separate"/>
      </w:r>
      <w:r w:rsidRPr="00C767F2">
        <w:rPr>
          <w:rFonts w:ascii="Arial" w:hAnsi="Arial" w:cs="Arial"/>
          <w:noProof/>
        </w:rPr>
        <w:t>(1922)</w:t>
      </w:r>
      <w:r w:rsidRPr="00C767F2">
        <w:rPr>
          <w:rFonts w:ascii="Arial" w:hAnsi="Arial" w:cs="Arial"/>
        </w:rPr>
        <w:fldChar w:fldCharType="end"/>
      </w:r>
      <w:r w:rsidRPr="00C767F2">
        <w:rPr>
          <w:rFonts w:ascii="Arial" w:hAnsi="Arial" w:cs="Arial"/>
        </w:rPr>
        <w:t xml:space="preserve">. </w:t>
      </w:r>
      <w:r w:rsidR="00C95D55">
        <w:rPr>
          <w:rFonts w:ascii="Arial" w:hAnsi="Arial" w:cs="Arial"/>
        </w:rPr>
        <w:t>L’habitude mise en évidence</w:t>
      </w:r>
      <w:r w:rsidRPr="00C767F2">
        <w:rPr>
          <w:rFonts w:ascii="Arial" w:hAnsi="Arial" w:cs="Arial"/>
        </w:rPr>
        <w:t xml:space="preserve"> consiste de préjuger de la capacité des personnes accompagnées avant même de tenter une quelconque participation. </w:t>
      </w:r>
    </w:p>
    <w:p w14:paraId="1C5E11F1" w14:textId="77777777" w:rsidR="00A8179E" w:rsidRPr="00C767F2" w:rsidRDefault="00A8179E" w:rsidP="00A8179E">
      <w:pPr>
        <w:spacing w:line="360" w:lineRule="auto"/>
        <w:jc w:val="both"/>
        <w:rPr>
          <w:rFonts w:ascii="Arial" w:hAnsi="Arial" w:cs="Arial"/>
        </w:rPr>
      </w:pPr>
    </w:p>
    <w:p w14:paraId="5FE3037F" w14:textId="243D6B04" w:rsidR="00A8179E" w:rsidRPr="00C767F2" w:rsidRDefault="00A8179E" w:rsidP="00A8179E">
      <w:pPr>
        <w:spacing w:line="360" w:lineRule="auto"/>
        <w:jc w:val="both"/>
        <w:rPr>
          <w:rFonts w:ascii="Arial" w:hAnsi="Arial" w:cs="Arial"/>
        </w:rPr>
      </w:pPr>
      <w:r w:rsidRPr="00C767F2">
        <w:rPr>
          <w:rFonts w:ascii="Arial" w:hAnsi="Arial" w:cs="Arial"/>
        </w:rPr>
        <w:t xml:space="preserve">En utilisant une grille de lecture inspirée des travaux de la philosophe Joëlle </w:t>
      </w:r>
      <w:proofErr w:type="spellStart"/>
      <w:r w:rsidRPr="00C767F2">
        <w:rPr>
          <w:rFonts w:ascii="Arial" w:hAnsi="Arial" w:cs="Arial"/>
        </w:rPr>
        <w:t>Zask</w:t>
      </w:r>
      <w:proofErr w:type="spellEnd"/>
      <w:r w:rsidR="00C95D55">
        <w:rPr>
          <w:rFonts w:ascii="Arial" w:hAnsi="Arial" w:cs="Arial"/>
        </w:rPr>
        <w:t xml:space="preserve"> </w:t>
      </w:r>
      <w:r w:rsidR="00C95D55">
        <w:rPr>
          <w:rFonts w:ascii="Arial" w:hAnsi="Arial" w:cs="Arial"/>
        </w:rPr>
        <w:fldChar w:fldCharType="begin"/>
      </w:r>
      <w:r w:rsidR="00C95D55">
        <w:rPr>
          <w:rFonts w:ascii="Arial" w:hAnsi="Arial" w:cs="Arial"/>
        </w:rPr>
        <w:instrText xml:space="preserve"> ADDIN EN.CITE &lt;EndNote&gt;&lt;Cite ExcludeAuth="1"&gt;&lt;Author&gt;Zask&lt;/Author&gt;&lt;Year&gt;2011&lt;/Year&gt;&lt;RecNum&gt;3275&lt;/RecNum&gt;&lt;DisplayText&gt;(2011)&lt;/DisplayText&gt;&lt;record&gt;&lt;rec-number&gt;3275&lt;/rec-number&gt;&lt;foreign-keys&gt;&lt;key app="EN" db-id="sdfzardrqrwstpevpac5xxwre099fst92x0p" timestamp="1654791759" guid="8ed5941d-8fc7-4fb3-9abe-71ea8f413183"&gt;3275&lt;/key&gt;&lt;/foreign-keys&gt;&lt;ref-type name="Book"&gt;6&lt;/ref-type&gt;&lt;contributors&gt;&lt;authors&gt;&lt;author&gt;Zask, Joëlle&lt;/author&gt;&lt;/authors&gt;&lt;/contributors&gt;&lt;titles&gt;&lt;title&gt;Participer. Essai sur les formes démocratiques de la participation&lt;/title&gt;&lt;/titles&gt;&lt;dates&gt;&lt;year&gt;2011&lt;/year&gt;&lt;/dates&gt;&lt;publisher&gt;Bord de l&amp;apos;eau (Le)&lt;/publisher&gt;&lt;isbn&gt;2356871373&lt;/isbn&gt;&lt;urls&gt;&lt;/urls&gt;&lt;/record&gt;&lt;/Cite&gt;&lt;/EndNote&gt;</w:instrText>
      </w:r>
      <w:r w:rsidR="00C95D55">
        <w:rPr>
          <w:rFonts w:ascii="Arial" w:hAnsi="Arial" w:cs="Arial"/>
        </w:rPr>
        <w:fldChar w:fldCharType="separate"/>
      </w:r>
      <w:r w:rsidR="00C95D55">
        <w:rPr>
          <w:rFonts w:ascii="Arial" w:hAnsi="Arial" w:cs="Arial"/>
          <w:noProof/>
        </w:rPr>
        <w:t>(2011)</w:t>
      </w:r>
      <w:r w:rsidR="00C95D55">
        <w:rPr>
          <w:rFonts w:ascii="Arial" w:hAnsi="Arial" w:cs="Arial"/>
        </w:rPr>
        <w:fldChar w:fldCharType="end"/>
      </w:r>
      <w:r w:rsidRPr="00C767F2">
        <w:rPr>
          <w:rFonts w:ascii="Arial" w:hAnsi="Arial" w:cs="Arial"/>
        </w:rPr>
        <w:t xml:space="preserve">, </w:t>
      </w:r>
      <w:r w:rsidR="00C95D55">
        <w:rPr>
          <w:rFonts w:ascii="Arial" w:hAnsi="Arial" w:cs="Arial"/>
        </w:rPr>
        <w:t>n</w:t>
      </w:r>
      <w:r w:rsidRPr="00C767F2">
        <w:rPr>
          <w:rFonts w:ascii="Arial" w:hAnsi="Arial" w:cs="Arial"/>
        </w:rPr>
        <w:t xml:space="preserve">ous avons découvert que dans l’organisation, il n’existe quasiment pas d’espace ou de moment de contribution des usagers. L’accompagnement est essentiellement construit par les professionnels. Ce que les professionnels désignent par participation se résume principalement à des sollicitations. </w:t>
      </w:r>
    </w:p>
    <w:p w14:paraId="2309FAC7" w14:textId="57DFA3FC" w:rsidR="00A8179E" w:rsidRDefault="00A8179E" w:rsidP="00A8179E">
      <w:pPr>
        <w:spacing w:line="360" w:lineRule="auto"/>
        <w:jc w:val="both"/>
        <w:rPr>
          <w:rFonts w:ascii="Arial" w:hAnsi="Arial" w:cs="Arial"/>
        </w:rPr>
      </w:pPr>
      <w:r w:rsidRPr="00C767F2">
        <w:rPr>
          <w:rFonts w:ascii="Arial" w:hAnsi="Arial" w:cs="Arial"/>
        </w:rPr>
        <w:t xml:space="preserve">Une hypothèse explicative à ce peu d’espace de contribution dans l’organisation nous a été suggérée par plusieurs professionnels interrogés. Lors des entretiens, les membres de la communauté d’enquête ont présenté le projet de recherche. Plusieurs professionnels interrogés ont alors fait la même remarque : « C’est vraiment très bien de les faire participer. Mais on sait tous que certains n’en sont pas capables. » Selon ces professionnels, les usagers de la plateforme ne sont que des destinataires ou bénéficiaires d’un accompagnement parce qu’ils ne </w:t>
      </w:r>
      <w:r w:rsidR="00E161AB">
        <w:rPr>
          <w:rFonts w:ascii="Arial" w:hAnsi="Arial" w:cs="Arial"/>
        </w:rPr>
        <w:t>seraient</w:t>
      </w:r>
      <w:r w:rsidRPr="00C767F2">
        <w:rPr>
          <w:rFonts w:ascii="Arial" w:hAnsi="Arial" w:cs="Arial"/>
        </w:rPr>
        <w:t xml:space="preserve"> pas capables de participer, de contribuer, d’apporter leur part au collectif.</w:t>
      </w:r>
    </w:p>
    <w:p w14:paraId="563A2FA6" w14:textId="6F7E1280" w:rsidR="00C95D55" w:rsidRDefault="00C95D55" w:rsidP="00A8179E">
      <w:pPr>
        <w:spacing w:line="360" w:lineRule="auto"/>
        <w:jc w:val="both"/>
        <w:rPr>
          <w:rFonts w:ascii="Arial" w:hAnsi="Arial" w:cs="Arial"/>
        </w:rPr>
      </w:pPr>
    </w:p>
    <w:p w14:paraId="5298A153" w14:textId="4471CB7D" w:rsidR="00E161AB" w:rsidRDefault="00E161AB" w:rsidP="00A8179E">
      <w:pPr>
        <w:spacing w:line="360" w:lineRule="auto"/>
        <w:jc w:val="both"/>
        <w:rPr>
          <w:rFonts w:ascii="Arial" w:hAnsi="Arial" w:cs="Arial"/>
        </w:rPr>
      </w:pPr>
    </w:p>
    <w:p w14:paraId="5C98482F" w14:textId="749C406E" w:rsidR="00E161AB" w:rsidRDefault="00E161AB" w:rsidP="00E161AB">
      <w:pPr>
        <w:pStyle w:val="Titre2"/>
      </w:pPr>
      <w:r>
        <w:t>Discussion</w:t>
      </w:r>
    </w:p>
    <w:p w14:paraId="41195ABA" w14:textId="77777777" w:rsidR="00E161AB" w:rsidRPr="00C767F2" w:rsidRDefault="00E161AB" w:rsidP="00A8179E">
      <w:pPr>
        <w:spacing w:line="360" w:lineRule="auto"/>
        <w:jc w:val="both"/>
        <w:rPr>
          <w:rFonts w:ascii="Arial" w:hAnsi="Arial" w:cs="Arial"/>
        </w:rPr>
      </w:pPr>
    </w:p>
    <w:p w14:paraId="13923DDF" w14:textId="63EBC387" w:rsidR="006065AC" w:rsidRPr="00C767F2" w:rsidRDefault="00C95D55" w:rsidP="00E161AB">
      <w:pPr>
        <w:spacing w:line="360" w:lineRule="auto"/>
        <w:jc w:val="both"/>
        <w:rPr>
          <w:rFonts w:ascii="Arial" w:hAnsi="Arial" w:cs="Arial"/>
        </w:rPr>
      </w:pPr>
      <w:r w:rsidRPr="00C767F2">
        <w:rPr>
          <w:rFonts w:ascii="Arial" w:hAnsi="Arial" w:cs="Arial"/>
        </w:rPr>
        <w:t xml:space="preserve">Pointer l’incapacité potentielle des usagers c’est conditionner la participation d’une personne à une compétence et non à un droit.  Cela rappelle alors le débat entre John Dewey et Walter Lippmann qui s’opposaient justement selon ces principes </w:t>
      </w:r>
      <w:r w:rsidRPr="00C767F2">
        <w:rPr>
          <w:rFonts w:ascii="Arial" w:hAnsi="Arial" w:cs="Arial"/>
        </w:rPr>
        <w:fldChar w:fldCharType="begin"/>
      </w:r>
      <w:r w:rsidRPr="00C767F2">
        <w:rPr>
          <w:rFonts w:ascii="Arial" w:hAnsi="Arial" w:cs="Arial"/>
        </w:rPr>
        <w:instrText xml:space="preserve"> ADDIN EN.CITE &lt;EndNote&gt;&lt;Cite&gt;&lt;Author&gt;Zask&lt;/Author&gt;&lt;Year&gt;2008&lt;/Year&gt;&lt;RecNum&gt;3263&lt;/RecNum&gt;&lt;DisplayText&gt;(Zask, 2008)&lt;/DisplayText&gt;&lt;record&gt;&lt;rec-number&gt;3263&lt;/rec-number&gt;&lt;foreign-keys&gt;&lt;key app="EN" db-id="sdfzardrqrwstpevpac5xxwre099fst92x0p" timestamp="1654679272" guid="620e9f72-0db5-4388-a248-40913a52dd60"&gt;3263&lt;/key&gt;&lt;/foreign-keys&gt;&lt;ref-type name="Journal Article"&gt;17&lt;/ref-type&gt;&lt;contributors&gt;&lt;authors&gt;&lt;author&gt;Zask, Joëlle&lt;/author&gt;&lt;/authors&gt;&lt;/contributors&gt;&lt;titles&gt;&lt;title&gt;Le public chez Dewey: une union sociale plurielle&lt;/title&gt;&lt;secondary-title&gt;Tracés&lt;/secondary-title&gt;&lt;/titles&gt;&lt;periodical&gt;&lt;full-title&gt;Tracés&lt;/full-title&gt;&lt;/periodical&gt;&lt;number&gt;15&lt;/number&gt;&lt;dates&gt;&lt;year&gt;2008&lt;/year&gt;&lt;/dates&gt;&lt;urls&gt;&lt;/urls&gt;&lt;/record&gt;&lt;/Cite&gt;&lt;/EndNote&gt;</w:instrText>
      </w:r>
      <w:r w:rsidRPr="00C767F2">
        <w:rPr>
          <w:rFonts w:ascii="Arial" w:hAnsi="Arial" w:cs="Arial"/>
        </w:rPr>
        <w:fldChar w:fldCharType="separate"/>
      </w:r>
      <w:r w:rsidRPr="00C767F2">
        <w:rPr>
          <w:rFonts w:ascii="Arial" w:hAnsi="Arial" w:cs="Arial"/>
          <w:noProof/>
        </w:rPr>
        <w:t>(Zask, 2008)</w:t>
      </w:r>
      <w:r w:rsidRPr="00C767F2">
        <w:rPr>
          <w:rFonts w:ascii="Arial" w:hAnsi="Arial" w:cs="Arial"/>
        </w:rPr>
        <w:fldChar w:fldCharType="end"/>
      </w:r>
      <w:r w:rsidRPr="00C767F2">
        <w:rPr>
          <w:rFonts w:ascii="Arial" w:hAnsi="Arial" w:cs="Arial"/>
        </w:rPr>
        <w:t>.</w:t>
      </w:r>
      <w:r w:rsidR="00E161AB">
        <w:rPr>
          <w:rFonts w:ascii="Arial" w:hAnsi="Arial" w:cs="Arial"/>
        </w:rPr>
        <w:t xml:space="preserve"> Dewey</w:t>
      </w:r>
      <w:r w:rsidR="00E161AB" w:rsidRPr="00C767F2">
        <w:rPr>
          <w:rFonts w:ascii="Arial" w:hAnsi="Arial" w:cs="Arial"/>
        </w:rPr>
        <w:t xml:space="preserve"> défend</w:t>
      </w:r>
      <w:r w:rsidR="00E161AB">
        <w:rPr>
          <w:rFonts w:ascii="Arial" w:hAnsi="Arial" w:cs="Arial"/>
        </w:rPr>
        <w:t>ait</w:t>
      </w:r>
      <w:r w:rsidR="00E161AB" w:rsidRPr="00C767F2">
        <w:rPr>
          <w:rFonts w:ascii="Arial" w:hAnsi="Arial" w:cs="Arial"/>
        </w:rPr>
        <w:t xml:space="preserve"> une </w:t>
      </w:r>
      <w:r w:rsidR="00E161AB" w:rsidRPr="00C767F2">
        <w:rPr>
          <w:rFonts w:ascii="Arial" w:hAnsi="Arial" w:cs="Arial"/>
          <w:i/>
          <w:iCs/>
        </w:rPr>
        <w:t>démocratie radicale</w:t>
      </w:r>
      <w:r w:rsidR="00E161AB" w:rsidRPr="00C767F2">
        <w:rPr>
          <w:rFonts w:ascii="Arial" w:hAnsi="Arial" w:cs="Arial"/>
        </w:rPr>
        <w:t xml:space="preserve"> </w:t>
      </w:r>
      <w:r w:rsidR="00E161AB" w:rsidRPr="00C767F2">
        <w:rPr>
          <w:rFonts w:ascii="Arial" w:hAnsi="Arial" w:cs="Arial"/>
        </w:rPr>
        <w:fldChar w:fldCharType="begin"/>
      </w:r>
      <w:r w:rsidR="00E161AB" w:rsidRPr="00C767F2">
        <w:rPr>
          <w:rFonts w:ascii="Arial" w:hAnsi="Arial" w:cs="Arial"/>
        </w:rPr>
        <w:instrText xml:space="preserve"> ADDIN EN.CITE &lt;EndNote&gt;&lt;Cite&gt;&lt;Author&gt;Cometti&lt;/Author&gt;&lt;Year&gt;2016&lt;/Year&gt;&lt;RecNum&gt;3331&lt;/RecNum&gt;&lt;DisplayText&gt;(Cometti, 2016)&lt;/DisplayText&gt;&lt;record&gt;&lt;rec-number&gt;3331&lt;/rec-number&gt;&lt;foreign-keys&gt;&lt;key app="EN" db-id="sdfzardrqrwstpevpac5xxwre099fst92x0p" timestamp="1661241666" guid="bc987e9f-e5fd-42c8-b4ac-8b94d6bdcc8a"&gt;3331&lt;/key&gt;&lt;/foreign-keys&gt;&lt;ref-type name="Book"&gt;6&lt;/ref-type&gt;&lt;contributors&gt;&lt;authors&gt;&lt;author&gt;Cometti, Jean-Pierre&lt;/author&gt;&lt;/authors&gt;&lt;/contributors&gt;&lt;titles&gt;&lt;title&gt;La démocratie radicale. Lire John Dewey&lt;/title&gt;&lt;/titles&gt;&lt;dates&gt;&lt;year&gt;2016&lt;/year&gt;&lt;/dates&gt;&lt;publisher&gt;Gallimard&lt;/publisher&gt;&lt;isbn&gt;2070467546&lt;/isbn&gt;&lt;urls&gt;&lt;/urls&gt;&lt;/record&gt;&lt;/Cite&gt;&lt;/EndNote&gt;</w:instrText>
      </w:r>
      <w:r w:rsidR="00E161AB" w:rsidRPr="00C767F2">
        <w:rPr>
          <w:rFonts w:ascii="Arial" w:hAnsi="Arial" w:cs="Arial"/>
        </w:rPr>
        <w:fldChar w:fldCharType="separate"/>
      </w:r>
      <w:r w:rsidR="00E161AB" w:rsidRPr="00C767F2">
        <w:rPr>
          <w:rFonts w:ascii="Arial" w:hAnsi="Arial" w:cs="Arial"/>
          <w:noProof/>
        </w:rPr>
        <w:t>(Cometti, 2016)</w:t>
      </w:r>
      <w:r w:rsidR="00E161AB" w:rsidRPr="00C767F2">
        <w:rPr>
          <w:rFonts w:ascii="Arial" w:hAnsi="Arial" w:cs="Arial"/>
        </w:rPr>
        <w:fldChar w:fldCharType="end"/>
      </w:r>
      <w:r w:rsidR="00E161AB" w:rsidRPr="00C767F2">
        <w:rPr>
          <w:rFonts w:ascii="Arial" w:hAnsi="Arial" w:cs="Arial"/>
        </w:rPr>
        <w:t xml:space="preserve"> dans laquelle le public se construit à travers les problèmes qu’il rencontre, qu’il affronte collectivement. </w:t>
      </w:r>
      <w:r w:rsidR="00E161AB">
        <w:rPr>
          <w:rFonts w:ascii="Arial" w:hAnsi="Arial" w:cs="Arial"/>
        </w:rPr>
        <w:t>Cette recherche confirme que l’</w:t>
      </w:r>
      <w:r w:rsidR="00E161AB" w:rsidRPr="00C767F2">
        <w:rPr>
          <w:rFonts w:ascii="Arial" w:hAnsi="Arial" w:cs="Arial"/>
        </w:rPr>
        <w:t xml:space="preserve">expérience de chacun, examinée à travers la </w:t>
      </w:r>
      <w:r w:rsidR="00E161AB" w:rsidRPr="00C767F2">
        <w:rPr>
          <w:rFonts w:ascii="Arial" w:hAnsi="Arial" w:cs="Arial"/>
        </w:rPr>
        <w:lastRenderedPageBreak/>
        <w:t xml:space="preserve">méthodologie de l’enquête, devient un bien commun </w:t>
      </w:r>
      <w:r w:rsidR="00E161AB" w:rsidRPr="00C767F2">
        <w:rPr>
          <w:rFonts w:ascii="Arial" w:hAnsi="Arial" w:cs="Arial"/>
          <w:shd w:val="clear" w:color="auto" w:fill="FFFFFF"/>
        </w:rPr>
        <w:fldChar w:fldCharType="begin"/>
      </w:r>
      <w:r w:rsidR="00E161AB" w:rsidRPr="00C767F2">
        <w:rPr>
          <w:rFonts w:ascii="Arial" w:hAnsi="Arial" w:cs="Arial"/>
          <w:shd w:val="clear" w:color="auto" w:fill="FFFFFF"/>
        </w:rPr>
        <w:instrText xml:space="preserve"> ADDIN EN.CITE &lt;EndNote&gt;&lt;Cite&gt;&lt;Author&gt;Zask&lt;/Author&gt;&lt;Year&gt;2008&lt;/Year&gt;&lt;RecNum&gt;3263&lt;/RecNum&gt;&lt;DisplayText&gt;(Zask, 2008)&lt;/DisplayText&gt;&lt;record&gt;&lt;rec-number&gt;3263&lt;/rec-number&gt;&lt;foreign-keys&gt;&lt;key app="EN" db-id="sdfzardrqrwstpevpac5xxwre099fst92x0p" timestamp="1654679272" guid="620e9f72-0db5-4388-a248-40913a52dd60"&gt;3263&lt;/key&gt;&lt;/foreign-keys&gt;&lt;ref-type name="Journal Article"&gt;17&lt;/ref-type&gt;&lt;contributors&gt;&lt;authors&gt;&lt;author&gt;Zask, Joëlle&lt;/author&gt;&lt;/authors&gt;&lt;/contributors&gt;&lt;titles&gt;&lt;title&gt;Le public chez Dewey: une union sociale plurielle&lt;/title&gt;&lt;secondary-title&gt;Tracés&lt;/secondary-title&gt;&lt;/titles&gt;&lt;periodical&gt;&lt;full-title&gt;Tracés&lt;/full-title&gt;&lt;/periodical&gt;&lt;number&gt;15&lt;/number&gt;&lt;dates&gt;&lt;year&gt;2008&lt;/year&gt;&lt;/dates&gt;&lt;urls&gt;&lt;/urls&gt;&lt;/record&gt;&lt;/Cite&gt;&lt;/EndNote&gt;</w:instrText>
      </w:r>
      <w:r w:rsidR="00E161AB" w:rsidRPr="00C767F2">
        <w:rPr>
          <w:rFonts w:ascii="Arial" w:hAnsi="Arial" w:cs="Arial"/>
          <w:shd w:val="clear" w:color="auto" w:fill="FFFFFF"/>
        </w:rPr>
        <w:fldChar w:fldCharType="separate"/>
      </w:r>
      <w:r w:rsidR="00E161AB" w:rsidRPr="00C767F2">
        <w:rPr>
          <w:rFonts w:ascii="Arial" w:hAnsi="Arial" w:cs="Arial"/>
          <w:noProof/>
          <w:shd w:val="clear" w:color="auto" w:fill="FFFFFF"/>
        </w:rPr>
        <w:t>(Zask, 2008)</w:t>
      </w:r>
      <w:r w:rsidR="00E161AB" w:rsidRPr="00C767F2">
        <w:rPr>
          <w:rFonts w:ascii="Arial" w:hAnsi="Arial" w:cs="Arial"/>
          <w:shd w:val="clear" w:color="auto" w:fill="FFFFFF"/>
        </w:rPr>
        <w:fldChar w:fldCharType="end"/>
      </w:r>
      <w:r w:rsidR="00E161AB">
        <w:rPr>
          <w:rFonts w:ascii="Arial" w:hAnsi="Arial" w:cs="Arial"/>
          <w:shd w:val="clear" w:color="auto" w:fill="FFFFFF"/>
        </w:rPr>
        <w:t xml:space="preserve"> même si elle se heurte à une idéologie capacitaire parfois bien ancrée dans la culture professionnelle.</w:t>
      </w:r>
    </w:p>
    <w:p w14:paraId="6F59392D" w14:textId="794E4636" w:rsidR="00246B4F" w:rsidRPr="00C767F2" w:rsidRDefault="00246B4F" w:rsidP="00C767F2">
      <w:pPr>
        <w:spacing w:line="360" w:lineRule="auto"/>
        <w:jc w:val="both"/>
        <w:rPr>
          <w:rFonts w:ascii="Arial" w:hAnsi="Arial" w:cs="Arial"/>
        </w:rPr>
      </w:pPr>
    </w:p>
    <w:p w14:paraId="4AE88D63" w14:textId="5B99B079" w:rsidR="00C767F2" w:rsidRPr="00C767F2" w:rsidRDefault="00C767F2" w:rsidP="00C767F2">
      <w:pPr>
        <w:pStyle w:val="Titre2"/>
        <w:spacing w:line="360" w:lineRule="auto"/>
        <w:jc w:val="both"/>
        <w:rPr>
          <w:rFonts w:ascii="Arial" w:hAnsi="Arial" w:cs="Arial"/>
        </w:rPr>
      </w:pPr>
      <w:r w:rsidRPr="00C767F2">
        <w:rPr>
          <w:rFonts w:ascii="Arial" w:hAnsi="Arial" w:cs="Arial"/>
        </w:rPr>
        <w:t>Bibliographie</w:t>
      </w:r>
    </w:p>
    <w:p w14:paraId="3248BE1C" w14:textId="77777777" w:rsidR="00246B4F" w:rsidRPr="00C767F2" w:rsidRDefault="00246B4F" w:rsidP="00C767F2">
      <w:pPr>
        <w:spacing w:line="360" w:lineRule="auto"/>
        <w:jc w:val="both"/>
        <w:rPr>
          <w:rFonts w:ascii="Arial" w:hAnsi="Arial" w:cs="Arial"/>
        </w:rPr>
      </w:pPr>
    </w:p>
    <w:p w14:paraId="07EE85B3" w14:textId="77777777" w:rsidR="00E161AB" w:rsidRPr="00E161AB" w:rsidRDefault="00246B4F" w:rsidP="00E161AB">
      <w:pPr>
        <w:pStyle w:val="EndNoteBibliography"/>
        <w:ind w:left="720" w:hanging="720"/>
        <w:rPr>
          <w:noProof/>
        </w:rPr>
      </w:pPr>
      <w:r w:rsidRPr="00C767F2">
        <w:rPr>
          <w:rFonts w:ascii="Arial" w:hAnsi="Arial" w:cs="Arial"/>
        </w:rPr>
        <w:fldChar w:fldCharType="begin"/>
      </w:r>
      <w:r w:rsidRPr="005566F0">
        <w:rPr>
          <w:rFonts w:ascii="Arial" w:hAnsi="Arial" w:cs="Arial"/>
          <w:lang w:val="fr-FR"/>
        </w:rPr>
        <w:instrText xml:space="preserve"> ADDIN EN.REFLIST </w:instrText>
      </w:r>
      <w:r w:rsidRPr="00C767F2">
        <w:rPr>
          <w:rFonts w:ascii="Arial" w:hAnsi="Arial" w:cs="Arial"/>
        </w:rPr>
        <w:fldChar w:fldCharType="separate"/>
      </w:r>
      <w:r w:rsidR="00E161AB" w:rsidRPr="00E161AB">
        <w:rPr>
          <w:noProof/>
        </w:rPr>
        <w:t xml:space="preserve">Cometti, J.-P. (2016). </w:t>
      </w:r>
      <w:r w:rsidR="00E161AB" w:rsidRPr="00E161AB">
        <w:rPr>
          <w:i/>
          <w:noProof/>
        </w:rPr>
        <w:t>La démocratie radicale. Lire John Dewey</w:t>
      </w:r>
      <w:r w:rsidR="00E161AB" w:rsidRPr="00E161AB">
        <w:rPr>
          <w:noProof/>
        </w:rPr>
        <w:t>: Gallimard.</w:t>
      </w:r>
    </w:p>
    <w:p w14:paraId="632229AE" w14:textId="77777777" w:rsidR="00E161AB" w:rsidRPr="00E161AB" w:rsidRDefault="00E161AB" w:rsidP="00E161AB">
      <w:pPr>
        <w:pStyle w:val="EndNoteBibliography"/>
        <w:ind w:left="720" w:hanging="720"/>
        <w:rPr>
          <w:noProof/>
        </w:rPr>
      </w:pPr>
      <w:r w:rsidRPr="00E161AB">
        <w:rPr>
          <w:noProof/>
        </w:rPr>
        <w:t xml:space="preserve">Dewey, J. (1922). </w:t>
      </w:r>
      <w:r w:rsidRPr="00E161AB">
        <w:rPr>
          <w:i/>
          <w:noProof/>
        </w:rPr>
        <w:t xml:space="preserve">Human Nature and Conduct. An Introduction to Social Psychology </w:t>
      </w:r>
      <w:r w:rsidRPr="00E161AB">
        <w:rPr>
          <w:noProof/>
        </w:rPr>
        <w:t>New York: Henry Holt and Company.</w:t>
      </w:r>
    </w:p>
    <w:p w14:paraId="68D07C58" w14:textId="77777777" w:rsidR="00E161AB" w:rsidRPr="00E161AB" w:rsidRDefault="00E161AB" w:rsidP="00E161AB">
      <w:pPr>
        <w:pStyle w:val="EndNoteBibliography"/>
        <w:ind w:left="720" w:hanging="720"/>
        <w:rPr>
          <w:noProof/>
        </w:rPr>
      </w:pPr>
      <w:r w:rsidRPr="00E161AB">
        <w:rPr>
          <w:noProof/>
        </w:rPr>
        <w:t xml:space="preserve">Dewey, J. (1967). </w:t>
      </w:r>
      <w:r w:rsidRPr="00E161AB">
        <w:rPr>
          <w:i/>
          <w:noProof/>
        </w:rPr>
        <w:t>la Théorie de L'Enquête</w:t>
      </w:r>
      <w:r w:rsidRPr="00E161AB">
        <w:rPr>
          <w:noProof/>
        </w:rPr>
        <w:t>. Paris: PUF.</w:t>
      </w:r>
    </w:p>
    <w:p w14:paraId="147D9A1E" w14:textId="77777777" w:rsidR="00E161AB" w:rsidRPr="00E161AB" w:rsidRDefault="00E161AB" w:rsidP="00E161AB">
      <w:pPr>
        <w:pStyle w:val="EndNoteBibliography"/>
        <w:ind w:left="720" w:hanging="720"/>
        <w:rPr>
          <w:noProof/>
        </w:rPr>
      </w:pPr>
      <w:r w:rsidRPr="00E161AB">
        <w:rPr>
          <w:noProof/>
        </w:rPr>
        <w:t xml:space="preserve">Heron, J., &amp; Reason, P. (2006). The practice of co-operative inquiry: Research ‘with’rather than ‘on’people. </w:t>
      </w:r>
      <w:r w:rsidRPr="00E161AB">
        <w:rPr>
          <w:i/>
          <w:noProof/>
        </w:rPr>
        <w:t>Handbook of action research: Concise paperback edition</w:t>
      </w:r>
      <w:r w:rsidRPr="00E161AB">
        <w:rPr>
          <w:noProof/>
        </w:rPr>
        <w:t xml:space="preserve">, 144-154. </w:t>
      </w:r>
    </w:p>
    <w:p w14:paraId="33CE974B" w14:textId="77777777" w:rsidR="00E161AB" w:rsidRPr="00E161AB" w:rsidRDefault="00E161AB" w:rsidP="00E161AB">
      <w:pPr>
        <w:pStyle w:val="EndNoteBibliography"/>
        <w:ind w:left="720" w:hanging="720"/>
        <w:rPr>
          <w:noProof/>
        </w:rPr>
      </w:pPr>
      <w:r w:rsidRPr="00E161AB">
        <w:rPr>
          <w:noProof/>
        </w:rPr>
        <w:t xml:space="preserve">Zask, J. (2008). Le public chez Dewey: une union sociale plurielle. </w:t>
      </w:r>
      <w:r w:rsidRPr="00E161AB">
        <w:rPr>
          <w:i/>
          <w:noProof/>
        </w:rPr>
        <w:t>Tracés</w:t>
      </w:r>
      <w:r w:rsidRPr="00E161AB">
        <w:rPr>
          <w:noProof/>
        </w:rPr>
        <w:t xml:space="preserve">(15). </w:t>
      </w:r>
    </w:p>
    <w:p w14:paraId="0E62B903" w14:textId="77777777" w:rsidR="00E161AB" w:rsidRPr="00E161AB" w:rsidRDefault="00E161AB" w:rsidP="00E161AB">
      <w:pPr>
        <w:pStyle w:val="EndNoteBibliography"/>
        <w:ind w:left="720" w:hanging="720"/>
        <w:rPr>
          <w:noProof/>
        </w:rPr>
      </w:pPr>
      <w:r w:rsidRPr="00E161AB">
        <w:rPr>
          <w:noProof/>
        </w:rPr>
        <w:t xml:space="preserve">Zask, J. (2011). </w:t>
      </w:r>
      <w:r w:rsidRPr="00E161AB">
        <w:rPr>
          <w:i/>
          <w:noProof/>
        </w:rPr>
        <w:t>Participer. Essai sur les formes démocratiques de la participation</w:t>
      </w:r>
      <w:r w:rsidRPr="00E161AB">
        <w:rPr>
          <w:noProof/>
        </w:rPr>
        <w:t>: Bord de l'eau (Le).</w:t>
      </w:r>
    </w:p>
    <w:p w14:paraId="14575402" w14:textId="5D833A5C" w:rsidR="00BE2C52" w:rsidRPr="00C767F2" w:rsidRDefault="00246B4F" w:rsidP="00C767F2">
      <w:pPr>
        <w:spacing w:line="360" w:lineRule="auto"/>
        <w:jc w:val="both"/>
        <w:rPr>
          <w:rFonts w:ascii="Arial" w:hAnsi="Arial" w:cs="Arial"/>
        </w:rPr>
      </w:pPr>
      <w:r w:rsidRPr="00C767F2">
        <w:rPr>
          <w:rFonts w:ascii="Arial" w:hAnsi="Arial" w:cs="Arial"/>
        </w:rPr>
        <w:fldChar w:fldCharType="end"/>
      </w:r>
    </w:p>
    <w:sectPr w:rsidR="00BE2C52" w:rsidRPr="00C76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B4AFE"/>
    <w:multiLevelType w:val="multilevel"/>
    <w:tmpl w:val="6FA824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0801F3"/>
    <w:multiLevelType w:val="multilevel"/>
    <w:tmpl w:val="F1A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055408">
    <w:abstractNumId w:val="1"/>
  </w:num>
  <w:num w:numId="2" w16cid:durableId="203792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fzardrqrwstpevpac5xxwre099fst92x0p&quot;&gt;My EndNote Library&lt;record-ids&gt;&lt;item&gt;2431&lt;/item&gt;&lt;item&gt;3136&lt;/item&gt;&lt;item&gt;3240&lt;/item&gt;&lt;item&gt;3263&lt;/item&gt;&lt;item&gt;3275&lt;/item&gt;&lt;item&gt;3331&lt;/item&gt;&lt;/record-ids&gt;&lt;/item&gt;&lt;/Libraries&gt;"/>
  </w:docVars>
  <w:rsids>
    <w:rsidRoot w:val="00BE2C52"/>
    <w:rsid w:val="00021AA4"/>
    <w:rsid w:val="0003266F"/>
    <w:rsid w:val="0005095A"/>
    <w:rsid w:val="00062D73"/>
    <w:rsid w:val="0010499F"/>
    <w:rsid w:val="001070F4"/>
    <w:rsid w:val="00116404"/>
    <w:rsid w:val="00123868"/>
    <w:rsid w:val="00147194"/>
    <w:rsid w:val="00171FA2"/>
    <w:rsid w:val="001745A8"/>
    <w:rsid w:val="00181F33"/>
    <w:rsid w:val="00187C32"/>
    <w:rsid w:val="001B3B51"/>
    <w:rsid w:val="001D0F4C"/>
    <w:rsid w:val="0020263D"/>
    <w:rsid w:val="00222568"/>
    <w:rsid w:val="00225F86"/>
    <w:rsid w:val="00236131"/>
    <w:rsid w:val="00243DA8"/>
    <w:rsid w:val="00246B4F"/>
    <w:rsid w:val="002A2885"/>
    <w:rsid w:val="002B233C"/>
    <w:rsid w:val="002B4B33"/>
    <w:rsid w:val="002C1422"/>
    <w:rsid w:val="002F0438"/>
    <w:rsid w:val="003100F9"/>
    <w:rsid w:val="00326F8E"/>
    <w:rsid w:val="00345F17"/>
    <w:rsid w:val="00351877"/>
    <w:rsid w:val="003555E3"/>
    <w:rsid w:val="003652DF"/>
    <w:rsid w:val="003936E6"/>
    <w:rsid w:val="00406930"/>
    <w:rsid w:val="00445761"/>
    <w:rsid w:val="00452B24"/>
    <w:rsid w:val="00476A56"/>
    <w:rsid w:val="00491163"/>
    <w:rsid w:val="004D15D0"/>
    <w:rsid w:val="00513714"/>
    <w:rsid w:val="0053727B"/>
    <w:rsid w:val="005566F0"/>
    <w:rsid w:val="005603C6"/>
    <w:rsid w:val="00594F69"/>
    <w:rsid w:val="005A006A"/>
    <w:rsid w:val="005A26A0"/>
    <w:rsid w:val="005B62D6"/>
    <w:rsid w:val="005F306C"/>
    <w:rsid w:val="006065AC"/>
    <w:rsid w:val="00615C40"/>
    <w:rsid w:val="00622ED7"/>
    <w:rsid w:val="006413A4"/>
    <w:rsid w:val="006474CA"/>
    <w:rsid w:val="00681B38"/>
    <w:rsid w:val="00682E64"/>
    <w:rsid w:val="00684D08"/>
    <w:rsid w:val="006D145A"/>
    <w:rsid w:val="006D7F52"/>
    <w:rsid w:val="006E3916"/>
    <w:rsid w:val="007370E5"/>
    <w:rsid w:val="00740ABE"/>
    <w:rsid w:val="007410D1"/>
    <w:rsid w:val="00760B7A"/>
    <w:rsid w:val="007A150A"/>
    <w:rsid w:val="00802146"/>
    <w:rsid w:val="00803973"/>
    <w:rsid w:val="008417B7"/>
    <w:rsid w:val="00853483"/>
    <w:rsid w:val="00863636"/>
    <w:rsid w:val="00872B2C"/>
    <w:rsid w:val="00873183"/>
    <w:rsid w:val="0088063D"/>
    <w:rsid w:val="00886A5E"/>
    <w:rsid w:val="008A0BAB"/>
    <w:rsid w:val="00930ACE"/>
    <w:rsid w:val="00960847"/>
    <w:rsid w:val="009709C3"/>
    <w:rsid w:val="009B7759"/>
    <w:rsid w:val="009F11DA"/>
    <w:rsid w:val="00A03DF9"/>
    <w:rsid w:val="00A05777"/>
    <w:rsid w:val="00A1511B"/>
    <w:rsid w:val="00A21ED9"/>
    <w:rsid w:val="00A370A1"/>
    <w:rsid w:val="00A73455"/>
    <w:rsid w:val="00A77C26"/>
    <w:rsid w:val="00A8179E"/>
    <w:rsid w:val="00A94E28"/>
    <w:rsid w:val="00AA140F"/>
    <w:rsid w:val="00AA75FC"/>
    <w:rsid w:val="00AB1B87"/>
    <w:rsid w:val="00AE245C"/>
    <w:rsid w:val="00B06219"/>
    <w:rsid w:val="00B26FA8"/>
    <w:rsid w:val="00B3732B"/>
    <w:rsid w:val="00BE14C6"/>
    <w:rsid w:val="00BE2C52"/>
    <w:rsid w:val="00BF00BD"/>
    <w:rsid w:val="00BF31D2"/>
    <w:rsid w:val="00C767F2"/>
    <w:rsid w:val="00C95D55"/>
    <w:rsid w:val="00C96C14"/>
    <w:rsid w:val="00CA2C41"/>
    <w:rsid w:val="00CB05AB"/>
    <w:rsid w:val="00CE1218"/>
    <w:rsid w:val="00CF543C"/>
    <w:rsid w:val="00CF703D"/>
    <w:rsid w:val="00D078C4"/>
    <w:rsid w:val="00D166E2"/>
    <w:rsid w:val="00D307E9"/>
    <w:rsid w:val="00DB1A5D"/>
    <w:rsid w:val="00DC70DE"/>
    <w:rsid w:val="00DD070A"/>
    <w:rsid w:val="00E07E10"/>
    <w:rsid w:val="00E1301C"/>
    <w:rsid w:val="00E161AB"/>
    <w:rsid w:val="00E52735"/>
    <w:rsid w:val="00E97EBB"/>
    <w:rsid w:val="00EB26DC"/>
    <w:rsid w:val="00F03BB4"/>
    <w:rsid w:val="00F22C29"/>
    <w:rsid w:val="00F63959"/>
    <w:rsid w:val="00FC22BE"/>
    <w:rsid w:val="00FC7EC0"/>
    <w:rsid w:val="00FD3840"/>
    <w:rsid w:val="00FD62E2"/>
    <w:rsid w:val="00FF6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78C7"/>
  <w15:chartTrackingRefBased/>
  <w15:docId w15:val="{E491CAC6-01DE-A949-B288-6D662B8A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6A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225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E2C52"/>
    <w:pPr>
      <w:spacing w:before="100" w:beforeAutospacing="1" w:after="100" w:afterAutospacing="1"/>
    </w:pPr>
    <w:rPr>
      <w:rFonts w:ascii="Times New Roman" w:eastAsia="Times New Roman" w:hAnsi="Times New Roman" w:cs="Times New Roman"/>
      <w:lang w:eastAsia="fr-FR"/>
    </w:rPr>
  </w:style>
  <w:style w:type="paragraph" w:styleId="Citation">
    <w:name w:val="Quote"/>
    <w:basedOn w:val="Normal"/>
    <w:next w:val="Normal"/>
    <w:link w:val="CitationCar"/>
    <w:qFormat/>
    <w:rsid w:val="00BE2C52"/>
    <w:pPr>
      <w:spacing w:before="200" w:after="160"/>
      <w:ind w:left="864" w:right="864"/>
      <w:jc w:val="both"/>
    </w:pPr>
    <w:rPr>
      <w:rFonts w:asciiTheme="majorHAnsi" w:eastAsia="Times New Roman" w:hAnsiTheme="majorHAnsi" w:cs="Times New Roman"/>
      <w:i/>
      <w:iCs/>
      <w:color w:val="404040" w:themeColor="text1" w:themeTint="BF"/>
      <w:lang w:eastAsia="fr-FR"/>
    </w:rPr>
  </w:style>
  <w:style w:type="character" w:customStyle="1" w:styleId="CitationCar">
    <w:name w:val="Citation Car"/>
    <w:basedOn w:val="Policepardfaut"/>
    <w:link w:val="Citation"/>
    <w:rsid w:val="00BE2C52"/>
    <w:rPr>
      <w:rFonts w:asciiTheme="majorHAnsi" w:eastAsia="Times New Roman" w:hAnsiTheme="majorHAnsi" w:cs="Times New Roman"/>
      <w:i/>
      <w:iCs/>
      <w:color w:val="404040" w:themeColor="text1" w:themeTint="BF"/>
      <w:lang w:eastAsia="fr-FR"/>
    </w:rPr>
  </w:style>
  <w:style w:type="paragraph" w:customStyle="1" w:styleId="EndNoteBibliographyTitle">
    <w:name w:val="EndNote Bibliography Title"/>
    <w:basedOn w:val="Normal"/>
    <w:link w:val="EndNoteBibliographyTitleCar"/>
    <w:rsid w:val="00246B4F"/>
    <w:pPr>
      <w:jc w:val="center"/>
    </w:pPr>
    <w:rPr>
      <w:rFonts w:ascii="Calibri" w:hAnsi="Calibri" w:cs="Calibri"/>
      <w:lang w:val="en-US"/>
    </w:rPr>
  </w:style>
  <w:style w:type="character" w:customStyle="1" w:styleId="EndNoteBibliographyTitleCar">
    <w:name w:val="EndNote Bibliography Title Car"/>
    <w:basedOn w:val="Policepardfaut"/>
    <w:link w:val="EndNoteBibliographyTitle"/>
    <w:rsid w:val="00246B4F"/>
    <w:rPr>
      <w:rFonts w:ascii="Calibri" w:hAnsi="Calibri" w:cs="Calibri"/>
      <w:lang w:val="en-US"/>
    </w:rPr>
  </w:style>
  <w:style w:type="paragraph" w:customStyle="1" w:styleId="EndNoteBibliography">
    <w:name w:val="EndNote Bibliography"/>
    <w:basedOn w:val="Normal"/>
    <w:link w:val="EndNoteBibliographyCar"/>
    <w:rsid w:val="00246B4F"/>
    <w:rPr>
      <w:rFonts w:ascii="Calibri" w:hAnsi="Calibri" w:cs="Calibri"/>
      <w:lang w:val="en-US"/>
    </w:rPr>
  </w:style>
  <w:style w:type="character" w:customStyle="1" w:styleId="EndNoteBibliographyCar">
    <w:name w:val="EndNote Bibliography Car"/>
    <w:basedOn w:val="Policepardfaut"/>
    <w:link w:val="EndNoteBibliography"/>
    <w:rsid w:val="00246B4F"/>
    <w:rPr>
      <w:rFonts w:ascii="Calibri" w:hAnsi="Calibri" w:cs="Calibri"/>
      <w:lang w:val="en-US"/>
    </w:rPr>
  </w:style>
  <w:style w:type="character" w:styleId="Lienhypertexte">
    <w:name w:val="Hyperlink"/>
    <w:basedOn w:val="Policepardfaut"/>
    <w:uiPriority w:val="99"/>
    <w:unhideWhenUsed/>
    <w:rsid w:val="00246B4F"/>
    <w:rPr>
      <w:color w:val="0563C1" w:themeColor="hyperlink"/>
      <w:u w:val="single"/>
    </w:rPr>
  </w:style>
  <w:style w:type="character" w:styleId="Mentionnonrsolue">
    <w:name w:val="Unresolved Mention"/>
    <w:basedOn w:val="Policepardfaut"/>
    <w:uiPriority w:val="99"/>
    <w:semiHidden/>
    <w:unhideWhenUsed/>
    <w:rsid w:val="00246B4F"/>
    <w:rPr>
      <w:color w:val="605E5C"/>
      <w:shd w:val="clear" w:color="auto" w:fill="E1DFDD"/>
    </w:rPr>
  </w:style>
  <w:style w:type="character" w:customStyle="1" w:styleId="Titre1Car">
    <w:name w:val="Titre 1 Car"/>
    <w:basedOn w:val="Policepardfaut"/>
    <w:link w:val="Titre1"/>
    <w:uiPriority w:val="9"/>
    <w:rsid w:val="00476A56"/>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olicepardfaut"/>
    <w:rsid w:val="007A150A"/>
  </w:style>
  <w:style w:type="character" w:customStyle="1" w:styleId="Titre2Car">
    <w:name w:val="Titre 2 Car"/>
    <w:basedOn w:val="Policepardfaut"/>
    <w:link w:val="Titre2"/>
    <w:uiPriority w:val="9"/>
    <w:rsid w:val="002225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5994">
      <w:bodyDiv w:val="1"/>
      <w:marLeft w:val="0"/>
      <w:marRight w:val="0"/>
      <w:marTop w:val="0"/>
      <w:marBottom w:val="0"/>
      <w:divBdr>
        <w:top w:val="none" w:sz="0" w:space="0" w:color="auto"/>
        <w:left w:val="none" w:sz="0" w:space="0" w:color="auto"/>
        <w:bottom w:val="none" w:sz="0" w:space="0" w:color="auto"/>
        <w:right w:val="none" w:sz="0" w:space="0" w:color="auto"/>
      </w:divBdr>
      <w:divsChild>
        <w:div w:id="997465437">
          <w:marLeft w:val="0"/>
          <w:marRight w:val="0"/>
          <w:marTop w:val="0"/>
          <w:marBottom w:val="0"/>
          <w:divBdr>
            <w:top w:val="none" w:sz="0" w:space="0" w:color="auto"/>
            <w:left w:val="none" w:sz="0" w:space="0" w:color="auto"/>
            <w:bottom w:val="none" w:sz="0" w:space="0" w:color="auto"/>
            <w:right w:val="none" w:sz="0" w:space="0" w:color="auto"/>
          </w:divBdr>
          <w:divsChild>
            <w:div w:id="1879775238">
              <w:marLeft w:val="0"/>
              <w:marRight w:val="0"/>
              <w:marTop w:val="0"/>
              <w:marBottom w:val="0"/>
              <w:divBdr>
                <w:top w:val="none" w:sz="0" w:space="0" w:color="auto"/>
                <w:left w:val="none" w:sz="0" w:space="0" w:color="auto"/>
                <w:bottom w:val="none" w:sz="0" w:space="0" w:color="auto"/>
                <w:right w:val="none" w:sz="0" w:space="0" w:color="auto"/>
              </w:divBdr>
              <w:divsChild>
                <w:div w:id="793523407">
                  <w:marLeft w:val="0"/>
                  <w:marRight w:val="0"/>
                  <w:marTop w:val="0"/>
                  <w:marBottom w:val="0"/>
                  <w:divBdr>
                    <w:top w:val="none" w:sz="0" w:space="0" w:color="auto"/>
                    <w:left w:val="none" w:sz="0" w:space="0" w:color="auto"/>
                    <w:bottom w:val="none" w:sz="0" w:space="0" w:color="auto"/>
                    <w:right w:val="none" w:sz="0" w:space="0" w:color="auto"/>
                  </w:divBdr>
                  <w:divsChild>
                    <w:div w:id="14540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58194">
      <w:bodyDiv w:val="1"/>
      <w:marLeft w:val="0"/>
      <w:marRight w:val="0"/>
      <w:marTop w:val="0"/>
      <w:marBottom w:val="0"/>
      <w:divBdr>
        <w:top w:val="none" w:sz="0" w:space="0" w:color="auto"/>
        <w:left w:val="none" w:sz="0" w:space="0" w:color="auto"/>
        <w:bottom w:val="none" w:sz="0" w:space="0" w:color="auto"/>
        <w:right w:val="none" w:sz="0" w:space="0" w:color="auto"/>
      </w:divBdr>
    </w:div>
    <w:div w:id="3742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ic.andri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1382</Words>
  <Characters>8105</Characters>
  <Application>Microsoft Office Word</Application>
  <DocSecurity>0</DocSecurity>
  <Lines>144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A.</dc:creator>
  <cp:keywords/>
  <dc:description/>
  <cp:lastModifiedBy>Loïc A.</cp:lastModifiedBy>
  <cp:revision>3</cp:revision>
  <dcterms:created xsi:type="dcterms:W3CDTF">2023-01-22T08:52:00Z</dcterms:created>
  <dcterms:modified xsi:type="dcterms:W3CDTF">2023-01-22T09:42:00Z</dcterms:modified>
</cp:coreProperties>
</file>